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pPr>
      <w:r>
        <w:rPr>
          <w:rFonts w:hint="eastAsia"/>
        </w:rPr>
        <w:t>中大惠亚医院</w:t>
      </w:r>
      <w:bookmarkStart w:id="0" w:name="OLE_LINK2"/>
      <w:bookmarkStart w:id="1" w:name="OLE_LINK1"/>
      <w:r>
        <w:rPr>
          <w:rFonts w:hint="eastAsia"/>
        </w:rPr>
        <w:t>医院信息系统项目</w:t>
      </w:r>
      <w:bookmarkEnd w:id="0"/>
      <w:bookmarkEnd w:id="1"/>
      <w:r>
        <w:rPr>
          <w:rFonts w:hint="eastAsia"/>
        </w:rPr>
        <w:t>技术要求</w:t>
      </w:r>
    </w:p>
    <w:p>
      <w:pPr>
        <w:jc w:val="center"/>
        <w:rPr>
          <w:sz w:val="28"/>
          <w:szCs w:val="28"/>
        </w:rPr>
      </w:pPr>
      <w:r>
        <w:rPr>
          <w:rFonts w:hint="eastAsia" w:ascii="宋体" w:hAnsi="宋体" w:cs="宋体"/>
          <w:b/>
          <w:sz w:val="28"/>
          <w:szCs w:val="28"/>
        </w:rPr>
        <w:t>用户需求</w:t>
      </w:r>
    </w:p>
    <w:p>
      <w:pPr>
        <w:jc w:val="left"/>
        <w:rPr>
          <w:sz w:val="28"/>
          <w:szCs w:val="28"/>
        </w:rPr>
      </w:pPr>
      <w:r>
        <w:rPr>
          <w:rFonts w:hint="eastAsia" w:ascii="宋体" w:hAnsi="宋体" w:cs="宋体"/>
          <w:b/>
          <w:szCs w:val="21"/>
        </w:rPr>
        <w:t>一、采购内容</w:t>
      </w:r>
    </w:p>
    <w:p/>
    <w:tbl>
      <w:tblPr>
        <w:tblStyle w:val="16"/>
        <w:tblW w:w="6587" w:type="dxa"/>
        <w:jc w:val="center"/>
        <w:tblLayout w:type="fixed"/>
        <w:tblCellMar>
          <w:top w:w="0" w:type="dxa"/>
          <w:left w:w="108" w:type="dxa"/>
          <w:bottom w:w="0" w:type="dxa"/>
          <w:right w:w="108" w:type="dxa"/>
        </w:tblCellMar>
      </w:tblPr>
      <w:tblGrid>
        <w:gridCol w:w="1066"/>
        <w:gridCol w:w="3781"/>
        <w:gridCol w:w="1740"/>
      </w:tblGrid>
      <w:tr>
        <w:tblPrEx>
          <w:tblCellMar>
            <w:top w:w="0" w:type="dxa"/>
            <w:left w:w="108" w:type="dxa"/>
            <w:bottom w:w="0" w:type="dxa"/>
            <w:right w:w="108" w:type="dxa"/>
          </w:tblCellMar>
        </w:tblPrEx>
        <w:trPr>
          <w:trHeight w:val="507" w:hRule="atLeast"/>
          <w:tblHeader/>
          <w:jc w:val="center"/>
        </w:trPr>
        <w:tc>
          <w:tcPr>
            <w:tcW w:w="1066" w:type="dxa"/>
            <w:tcBorders>
              <w:top w:val="single" w:color="000000" w:sz="4" w:space="0"/>
              <w:left w:val="single" w:color="000000" w:sz="4" w:space="0"/>
              <w:bottom w:val="single" w:color="000000" w:sz="4" w:space="0"/>
            </w:tcBorders>
            <w:shd w:val="clear" w:color="auto" w:fill="auto"/>
            <w:vAlign w:val="center"/>
          </w:tcPr>
          <w:p>
            <w:pPr>
              <w:jc w:val="center"/>
            </w:pPr>
            <w:r>
              <w:rPr>
                <w:rFonts w:hint="eastAsia"/>
                <w:b/>
              </w:rPr>
              <w:t>序号</w:t>
            </w:r>
          </w:p>
        </w:tc>
        <w:tc>
          <w:tcPr>
            <w:tcW w:w="3781" w:type="dxa"/>
            <w:tcBorders>
              <w:top w:val="single" w:color="000000" w:sz="4" w:space="0"/>
              <w:left w:val="single" w:color="000000" w:sz="4" w:space="0"/>
              <w:bottom w:val="single" w:color="000000" w:sz="4" w:space="0"/>
            </w:tcBorders>
            <w:shd w:val="clear" w:color="auto" w:fill="auto"/>
            <w:vAlign w:val="center"/>
          </w:tcPr>
          <w:p>
            <w:pPr>
              <w:jc w:val="center"/>
            </w:pPr>
            <w:r>
              <w:rPr>
                <w:rFonts w:hint="eastAsia"/>
                <w:b/>
              </w:rPr>
              <w:t>采购项目名称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b/>
              </w:rPr>
              <w:t>数量</w:t>
            </w:r>
          </w:p>
        </w:tc>
      </w:tr>
      <w:tr>
        <w:tblPrEx>
          <w:tblCellMar>
            <w:top w:w="0" w:type="dxa"/>
            <w:left w:w="108" w:type="dxa"/>
            <w:bottom w:w="0" w:type="dxa"/>
            <w:right w:w="108" w:type="dxa"/>
          </w:tblCellMar>
        </w:tblPrEx>
        <w:trPr>
          <w:trHeight w:val="507" w:hRule="atLeast"/>
          <w:jc w:val="center"/>
        </w:trPr>
        <w:tc>
          <w:tcPr>
            <w:tcW w:w="1066" w:type="dxa"/>
            <w:tcBorders>
              <w:left w:val="single" w:color="000000" w:sz="4" w:space="0"/>
              <w:bottom w:val="single" w:color="auto" w:sz="4" w:space="0"/>
            </w:tcBorders>
            <w:shd w:val="clear" w:color="auto" w:fill="auto"/>
            <w:vAlign w:val="center"/>
          </w:tcPr>
          <w:p>
            <w:pPr>
              <w:jc w:val="center"/>
            </w:pPr>
            <w:r>
              <w:rPr>
                <w:rFonts w:hint="eastAsia"/>
              </w:rPr>
              <w:t>1</w:t>
            </w:r>
          </w:p>
        </w:tc>
        <w:tc>
          <w:tcPr>
            <w:tcW w:w="3781" w:type="dxa"/>
            <w:tcBorders>
              <w:left w:val="single" w:color="000000" w:sz="4" w:space="0"/>
              <w:bottom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lang w:eastAsia="zh-CN"/>
              </w:rPr>
              <w:t>病案首页分析</w:t>
            </w:r>
            <w:r>
              <w:rPr>
                <w:rFonts w:hint="eastAsia" w:ascii="宋体" w:hAnsi="宋体" w:cs="宋体"/>
                <w:kern w:val="0"/>
              </w:rPr>
              <w:t>系统维保项目</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Theme="minorEastAsia"/>
                <w:lang w:eastAsia="zh-CN"/>
              </w:rPr>
            </w:pPr>
            <w:r>
              <w:rPr>
                <w:rFonts w:hint="eastAsia"/>
                <w:lang w:val="en-US" w:eastAsia="zh-CN"/>
              </w:rPr>
              <w:t>3</w:t>
            </w:r>
            <w:r>
              <w:rPr>
                <w:rFonts w:hint="eastAsia"/>
                <w:lang w:eastAsia="zh-CN"/>
              </w:rPr>
              <w:t>年</w:t>
            </w:r>
          </w:p>
        </w:tc>
      </w:tr>
    </w:tbl>
    <w:p>
      <w:pPr>
        <w:widowControl/>
        <w:ind w:left="630" w:hanging="630" w:hangingChars="300"/>
        <w:jc w:val="left"/>
        <w:rPr>
          <w:rFonts w:ascii="宋体" w:hAnsi="宋体" w:cs="宋体"/>
          <w:kern w:val="0"/>
        </w:rPr>
      </w:pPr>
    </w:p>
    <w:p>
      <w:pPr>
        <w:spacing w:line="360" w:lineRule="auto"/>
        <w:rPr>
          <w:rFonts w:ascii="宋体" w:hAnsi="宋体" w:cs="宋体"/>
          <w:b/>
        </w:rPr>
      </w:pPr>
      <w:bookmarkStart w:id="2" w:name="_Toc7515549"/>
      <w:r>
        <w:rPr>
          <w:rFonts w:hint="eastAsia" w:ascii="宋体" w:hAnsi="宋体" w:cs="宋体"/>
          <w:b/>
        </w:rPr>
        <w:t>二、项目描述</w:t>
      </w:r>
    </w:p>
    <w:p>
      <w:pPr>
        <w:spacing w:line="360" w:lineRule="auto"/>
        <w:ind w:firstLine="420" w:firstLineChars="200"/>
        <w:rPr>
          <w:rFonts w:hint="eastAsia" w:asciiTheme="minorEastAsia" w:hAnsiTheme="minorEastAsia"/>
          <w:color w:val="auto"/>
        </w:rPr>
      </w:pPr>
      <w:r>
        <w:rPr>
          <w:rFonts w:hint="eastAsia" w:asciiTheme="minorEastAsia" w:hAnsiTheme="minorEastAsia"/>
          <w:color w:val="auto"/>
          <w:lang w:eastAsia="zh-CN"/>
        </w:rPr>
        <w:t>本项目为病案室所提需求。</w:t>
      </w:r>
      <w:r>
        <w:rPr>
          <w:rFonts w:hint="eastAsia" w:asciiTheme="minorEastAsia" w:hAnsiTheme="minorEastAsia"/>
          <w:color w:val="auto"/>
        </w:rPr>
        <w:t>我院病案首页分析系统为医院核心业务信息系统，承担全院住院病案首页数据采集、质量审核、智能校验、统计分析、指标计算、数据上报与决策支撑等核心职能。系统已建设完成并投入稳定运行多年，当前维保期已满。为保障系统7×24 小时持续稳定运行、确保病案首页数据质量与统计分析结果精准可靠、满足国家 / 省 / 市三级公立医院绩效考核、医保 DIP/DRG 付费、医疗质量控制、卫生统计上报等刚性政策要求，现启动病案首页分析系统维保服务项目采购，保障系统功能完备、性能高效、数据安全、接口通畅，持续为医院管理、临床业务、医保运营、绩效考核提供核心数据支撑。</w:t>
      </w:r>
    </w:p>
    <w:p>
      <w:pPr>
        <w:spacing w:line="360" w:lineRule="auto"/>
        <w:rPr>
          <w:rFonts w:ascii="宋体" w:hAnsi="宋体" w:cs="宋体"/>
          <w:b/>
        </w:rPr>
      </w:pPr>
      <w:r>
        <w:rPr>
          <w:rFonts w:hint="eastAsia" w:ascii="宋体" w:hAnsi="宋体" w:cs="宋体"/>
          <w:b/>
        </w:rPr>
        <w:t>三、建设内容</w:t>
      </w:r>
    </w:p>
    <w:p>
      <w:pPr>
        <w:spacing w:line="360" w:lineRule="auto"/>
        <w:ind w:firstLine="420" w:firstLineChars="200"/>
        <w:rPr>
          <w:rFonts w:ascii="宋体" w:hAnsi="宋体" w:cs="宋体"/>
          <w:color w:val="auto"/>
          <w:kern w:val="0"/>
        </w:rPr>
      </w:pPr>
      <w:r>
        <w:rPr>
          <w:rFonts w:hint="eastAsia" w:ascii="宋体" w:hAnsi="宋体" w:cs="宋体"/>
          <w:kern w:val="0"/>
          <w:lang w:eastAsia="zh-CN"/>
        </w:rPr>
        <w:t>本项目主要建设内容为对现有病案首页分析系统提供全周期运维保障服务，包括系统日常运行维护、故障排查与修复、数据库优化与数据安全保障、病案首页质控规则更新、ICD 编码库同步升级、国考及省市级绩效考核指标适配调整、医保 DIP/DRG 相关分析模块优化维护、统计报表接口对接与数据校验、用户操作技术支持及系统版本迭代升级等，确保病案首页数据采集、质量审核、指标统计、数据上报等核心功能持续稳定运行，满足医院医疗质控、运营管理、医保结算及法定数据上报等业务需求。</w:t>
      </w:r>
    </w:p>
    <w:p>
      <w:pPr>
        <w:pStyle w:val="28"/>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宋体" w:hAnsi="宋体" w:cs="宋体"/>
          <w:b/>
          <w:bCs w:val="0"/>
          <w:lang w:val="en-US" w:eastAsia="zh-CN"/>
        </w:rPr>
      </w:pPr>
      <w:r>
        <w:rPr>
          <w:rFonts w:hint="eastAsia" w:ascii="宋体" w:hAnsi="宋体" w:cs="宋体"/>
          <w:b/>
          <w:bCs w:val="0"/>
        </w:rPr>
        <w:t>功能需求</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1.</w:t>
      </w:r>
      <w:r>
        <w:rPr>
          <w:rFonts w:hint="eastAsia" w:asciiTheme="minorEastAsia" w:hAnsiTheme="minorEastAsia" w:eastAsiaTheme="minorEastAsia" w:cstheme="minorEastAsia"/>
          <w:b/>
          <w:bCs/>
          <w:sz w:val="21"/>
          <w:szCs w:val="21"/>
          <w:lang w:val="en-US" w:eastAsia="zh-CN"/>
        </w:rPr>
        <w:t>系统日常运维与故障保障功能</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日常巡检功能：提供7×24小时系统运行状态监测，每</w:t>
      </w:r>
      <w:r>
        <w:rPr>
          <w:rFonts w:hint="eastAsia" w:asciiTheme="minorEastAsia" w:hAnsiTheme="minorEastAsia" w:cstheme="minorEastAsia"/>
          <w:sz w:val="21"/>
          <w:szCs w:val="21"/>
          <w:lang w:eastAsia="zh-CN"/>
        </w:rPr>
        <w:t>季度</w:t>
      </w:r>
      <w:r>
        <w:rPr>
          <w:rFonts w:hint="eastAsia" w:asciiTheme="minorEastAsia" w:hAnsiTheme="minorEastAsia" w:eastAsiaTheme="minorEastAsia" w:cstheme="minorEastAsia"/>
          <w:sz w:val="21"/>
          <w:szCs w:val="21"/>
        </w:rPr>
        <w:t>对系统服务器、数据库、应用程序、接口链路进行巡检，形成巡检报告，及时发现并处理潜在运行隐患。</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1.2</w:t>
      </w:r>
      <w:r>
        <w:rPr>
          <w:rFonts w:hint="eastAsia" w:asciiTheme="minorEastAsia" w:hAnsiTheme="minorEastAsia" w:eastAsiaTheme="minorEastAsia" w:cstheme="minorEastAsia"/>
          <w:sz w:val="21"/>
          <w:szCs w:val="21"/>
        </w:rPr>
        <w:t>故障应急处理功能：建立分级故障响应机制，确保故障不影响医院核心业务开展。</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1.3</w:t>
      </w:r>
      <w:r>
        <w:rPr>
          <w:rFonts w:hint="eastAsia" w:asciiTheme="minorEastAsia" w:hAnsiTheme="minorEastAsia" w:eastAsiaTheme="minorEastAsia" w:cstheme="minorEastAsia"/>
          <w:sz w:val="21"/>
          <w:szCs w:val="21"/>
        </w:rPr>
        <w:t>系统恢复功能：具备完善的系统备份与恢复机制，定期对数据库、系统配置、核心数据进行备份验证，发生数据丢失、系统崩溃等突发情况时，可快速完成数据恢复与系统重启，确保数据无丢失、业务无长期中断。</w:t>
      </w:r>
    </w:p>
    <w:p>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outlineLvl w:val="9"/>
        <w:rPr>
          <w:rFonts w:hint="eastAsia" w:asciiTheme="minorEastAsia" w:hAnsiTheme="minorEastAsia" w:eastAsiaTheme="minorEastAsia" w:cstheme="minorEastAsia"/>
          <w:sz w:val="21"/>
          <w:szCs w:val="21"/>
        </w:rPr>
      </w:pPr>
      <w:bookmarkStart w:id="3" w:name="heading_1"/>
      <w:r>
        <w:rPr>
          <w:rFonts w:hint="eastAsia" w:asciiTheme="minorEastAsia" w:hAnsiTheme="minorEastAsia" w:cstheme="minorEastAsia"/>
          <w:b/>
          <w:sz w:val="21"/>
          <w:szCs w:val="21"/>
          <w:lang w:val="en-US" w:eastAsia="zh-CN"/>
        </w:rPr>
        <w:t>2.</w:t>
      </w:r>
      <w:r>
        <w:rPr>
          <w:rFonts w:hint="eastAsia" w:asciiTheme="minorEastAsia" w:hAnsiTheme="minorEastAsia" w:eastAsiaTheme="minorEastAsia" w:cstheme="minorEastAsia"/>
          <w:b/>
          <w:sz w:val="21"/>
          <w:szCs w:val="21"/>
        </w:rPr>
        <w:t>数据质量管控与优化功能</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2.1</w:t>
      </w:r>
      <w:r>
        <w:rPr>
          <w:rFonts w:hint="eastAsia" w:asciiTheme="minorEastAsia" w:hAnsiTheme="minorEastAsia" w:eastAsiaTheme="minorEastAsia" w:cstheme="minorEastAsia"/>
          <w:sz w:val="21"/>
          <w:szCs w:val="21"/>
        </w:rPr>
        <w:t>病案首页质控功能：维护并优化系统现有质控规则，涵盖病案首页填写完整性、逻辑性、准确性校验，及时预警诊断编码错误、手术操作编码偏差、必填项缺失等问题。</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2.2</w:t>
      </w:r>
      <w:r>
        <w:rPr>
          <w:rFonts w:hint="eastAsia" w:asciiTheme="minorEastAsia" w:hAnsiTheme="minorEastAsia" w:eastAsiaTheme="minorEastAsia" w:cstheme="minorEastAsia"/>
          <w:sz w:val="21"/>
          <w:szCs w:val="21"/>
        </w:rPr>
        <w:t>编码管理功能：及时同步国家及广东省最新ICD-10诊断编码、ICD-9-CM3手术操作编码库，定期完成编码更新与适配，支持编码对照、编码查询、编码纠错功能，确保编码使用规范，贴合医保DRG分组、绩效考核要求。</w:t>
      </w:r>
    </w:p>
    <w:p>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outlineLvl w:val="1"/>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2.3</w:t>
      </w:r>
      <w:r>
        <w:rPr>
          <w:rFonts w:hint="eastAsia" w:asciiTheme="minorEastAsia" w:hAnsiTheme="minorEastAsia" w:eastAsiaTheme="minorEastAsia" w:cstheme="minorEastAsia"/>
          <w:sz w:val="21"/>
          <w:szCs w:val="21"/>
        </w:rPr>
        <w:t>数据清洗与校验功能：定期对系统内病案首页数据进行清洗，处理重复数据、错误数据、缺失数据，对数据格式、逻辑关系进行校验，确保数据一致性、完整性，满足数据上报与统计分析需求。</w:t>
      </w:r>
    </w:p>
    <w:p>
      <w:pPr>
        <w:keepNext w:val="0"/>
        <w:keepLines w:val="0"/>
        <w:pageBreakBefore w:val="0"/>
        <w:widowControl w:val="0"/>
        <w:kinsoku/>
        <w:wordWrap/>
        <w:overflowPunct/>
        <w:topLinePunct w:val="0"/>
        <w:autoSpaceDE/>
        <w:autoSpaceDN/>
        <w:bidi w:val="0"/>
        <w:adjustRightInd/>
        <w:snapToGrid/>
        <w:spacing w:before="120" w:after="120" w:line="360" w:lineRule="auto"/>
        <w:ind w:left="0"/>
        <w:jc w:val="both"/>
        <w:textAlignment w:val="auto"/>
        <w:outlineLvl w:val="1"/>
        <w:rPr>
          <w:rFonts w:hint="eastAsia" w:asciiTheme="minorEastAsia" w:hAnsiTheme="minorEastAsia" w:eastAsiaTheme="minorEastAsia" w:cstheme="minorEastAsia"/>
          <w:b/>
          <w:bCs/>
          <w:sz w:val="21"/>
          <w:szCs w:val="21"/>
        </w:rPr>
      </w:pPr>
      <w:bookmarkStart w:id="4" w:name="heading_2"/>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统计分析与指标适配功能</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3.1</w:t>
      </w:r>
      <w:r>
        <w:rPr>
          <w:rFonts w:hint="eastAsia" w:asciiTheme="minorEastAsia" w:hAnsiTheme="minorEastAsia" w:eastAsiaTheme="minorEastAsia" w:cstheme="minorEastAsia"/>
          <w:sz w:val="21"/>
          <w:szCs w:val="21"/>
        </w:rPr>
        <w:t>统计报表维护功能：维护我院现有</w:t>
      </w:r>
      <w:r>
        <w:rPr>
          <w:rFonts w:hint="eastAsia" w:asciiTheme="minorEastAsia" w:hAnsiTheme="minorEastAsia" w:cstheme="minorEastAsia"/>
          <w:sz w:val="21"/>
          <w:szCs w:val="21"/>
          <w:lang w:eastAsia="zh-CN"/>
        </w:rPr>
        <w:t>多</w:t>
      </w:r>
      <w:r>
        <w:rPr>
          <w:rFonts w:hint="eastAsia" w:asciiTheme="minorEastAsia" w:hAnsiTheme="minorEastAsia" w:eastAsiaTheme="minorEastAsia" w:cstheme="minorEastAsia"/>
          <w:sz w:val="21"/>
          <w:szCs w:val="21"/>
        </w:rPr>
        <w:t>项核心统计指标报表，包括医疗质量、运营效率、科室绩效、病种结构、手术能力、费用控制等类别，确保报表计算精准、生成及时，支持报表导出、打印、自定义筛选功能。</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3.2</w:t>
      </w:r>
      <w:r>
        <w:rPr>
          <w:rFonts w:hint="eastAsia" w:asciiTheme="minorEastAsia" w:hAnsiTheme="minorEastAsia" w:eastAsiaTheme="minorEastAsia" w:cstheme="minorEastAsia"/>
          <w:sz w:val="21"/>
          <w:szCs w:val="21"/>
        </w:rPr>
        <w:t>多维度分析功能：维护系统现有数据挖掘与分析功能，支持按科室、病种、时间、医师等多维度对病案首页数据进行统计分析，生成趋势图、对比表等可视化结果，为医院管理决策提供数据支撑。</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3.3详细功能类别</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7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pStyle w:val="28"/>
              <w:numPr>
                <w:ilvl w:val="0"/>
                <w:numId w:val="0"/>
              </w:numPr>
              <w:spacing w:line="360" w:lineRule="auto"/>
              <w:ind w:leftChars="0"/>
              <w:rPr>
                <w:rFonts w:hint="eastAsia" w:asciiTheme="minorEastAsia" w:hAnsiTheme="minorEastAsia" w:cstheme="minorEastAsia"/>
                <w:color w:val="auto"/>
                <w:sz w:val="21"/>
                <w:szCs w:val="21"/>
                <w:vertAlign w:val="baseline"/>
                <w:lang w:val="en-US" w:eastAsia="zh-CN"/>
              </w:rPr>
            </w:pPr>
            <w:r>
              <w:rPr>
                <w:rFonts w:hint="eastAsia" w:ascii="宋体" w:hAnsi="宋体" w:cs="宋体"/>
                <w:b/>
                <w:bCs w:val="0"/>
                <w:color w:val="auto"/>
                <w:lang w:val="en-US" w:eastAsia="zh-CN"/>
              </w:rPr>
              <w:t>全院分析</w:t>
            </w:r>
          </w:p>
        </w:tc>
        <w:tc>
          <w:tcPr>
            <w:tcW w:w="7132"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val="0"/>
                <w:bCs/>
                <w:color w:val="auto"/>
                <w:lang w:val="en-US" w:eastAsia="zh-CN"/>
              </w:rPr>
              <w:t>支持显示患者概况、疾病概况、手术概况、病人流向、费用概况、重点人群的基本信息。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bCs w:val="0"/>
                <w:color w:val="auto"/>
                <w:lang w:val="en-US" w:eastAsia="zh-CN"/>
              </w:rPr>
              <w:t>疾病情况</w:t>
            </w:r>
          </w:p>
        </w:tc>
        <w:tc>
          <w:tcPr>
            <w:tcW w:w="7132"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val="0"/>
                <w:bCs/>
                <w:color w:val="auto"/>
                <w:lang w:val="en-US" w:eastAsia="zh-CN"/>
              </w:rPr>
              <w:t>支持显示患者概况、疾病概况、手术概况、病人流向、费用概况、重点人群的基本信息。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bCs w:val="0"/>
                <w:color w:val="auto"/>
                <w:lang w:val="en-US" w:eastAsia="zh-CN"/>
              </w:rPr>
              <w:t>手术分析</w:t>
            </w:r>
          </w:p>
        </w:tc>
        <w:tc>
          <w:tcPr>
            <w:tcW w:w="7132"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val="0"/>
                <w:bCs/>
                <w:color w:val="auto"/>
                <w:lang w:val="en-US" w:eastAsia="zh-CN"/>
              </w:rPr>
              <w:t>支持显示手术概况、手术分类、手术分级、麻醉方式、切口类别、术者工作量数据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bCs w:val="0"/>
                <w:color w:val="auto"/>
                <w:lang w:val="en-US" w:eastAsia="zh-CN"/>
              </w:rPr>
              <w:t>科室分析</w:t>
            </w:r>
          </w:p>
        </w:tc>
        <w:tc>
          <w:tcPr>
            <w:tcW w:w="7132"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val="0"/>
                <w:bCs/>
                <w:color w:val="auto"/>
                <w:lang w:val="en-US" w:eastAsia="zh-CN"/>
              </w:rPr>
              <w:t>支持显示科室概况、出院情况、病人来源、病人构成、医师工作量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bCs w:val="0"/>
                <w:color w:val="auto"/>
                <w:lang w:val="en-US" w:eastAsia="zh-CN"/>
              </w:rPr>
              <w:t>综合评审</w:t>
            </w:r>
          </w:p>
        </w:tc>
        <w:tc>
          <w:tcPr>
            <w:tcW w:w="7132"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val="0"/>
                <w:bCs/>
                <w:color w:val="auto"/>
                <w:lang w:val="en-US" w:eastAsia="zh-CN"/>
              </w:rPr>
              <w:t>支持显示高水平医院建设、三甲评审各项指标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bCs w:val="0"/>
                <w:color w:val="auto"/>
                <w:lang w:val="en-US" w:eastAsia="zh-CN"/>
              </w:rPr>
              <w:t>固定报表</w:t>
            </w:r>
          </w:p>
        </w:tc>
        <w:tc>
          <w:tcPr>
            <w:tcW w:w="7132" w:type="dxa"/>
          </w:tcPr>
          <w:p>
            <w:pPr>
              <w:pStyle w:val="28"/>
              <w:numPr>
                <w:ilvl w:val="0"/>
                <w:numId w:val="0"/>
              </w:numPr>
              <w:spacing w:line="360" w:lineRule="auto"/>
              <w:rPr>
                <w:rFonts w:hint="eastAsia" w:ascii="宋体" w:hAnsi="宋体" w:cs="宋体"/>
                <w:b w:val="0"/>
                <w:bCs/>
                <w:color w:val="auto"/>
                <w:lang w:val="en-US" w:eastAsia="zh-CN"/>
              </w:rPr>
            </w:pPr>
            <w:r>
              <w:rPr>
                <w:rFonts w:hint="eastAsia" w:ascii="宋体" w:hAnsi="宋体" w:cs="宋体"/>
                <w:b w:val="0"/>
                <w:bCs/>
                <w:color w:val="auto"/>
                <w:lang w:val="en-US" w:eastAsia="zh-CN"/>
              </w:rPr>
              <w:t>支持显示逐月台账、费用报表、病人一览表。</w:t>
            </w:r>
          </w:p>
          <w:p>
            <w:pPr>
              <w:pStyle w:val="28"/>
              <w:numPr>
                <w:ilvl w:val="0"/>
                <w:numId w:val="0"/>
              </w:numPr>
              <w:spacing w:line="360" w:lineRule="auto"/>
              <w:rPr>
                <w:rFonts w:hint="eastAsia" w:asciiTheme="minorEastAsia" w:hAnsiTheme="minorEastAsia" w:cstheme="minorEastAsia"/>
                <w:color w:val="auto"/>
                <w:sz w:val="21"/>
                <w:szCs w:val="21"/>
                <w:vertAlign w:val="baseline"/>
                <w:lang w:val="en-US" w:eastAsia="zh-CN"/>
              </w:rPr>
            </w:pPr>
            <w:r>
              <w:rPr>
                <w:rFonts w:hint="eastAsia" w:ascii="宋体" w:hAnsi="宋体" w:cs="宋体"/>
                <w:b w:val="0"/>
                <w:bCs/>
                <w:color w:val="auto"/>
                <w:lang w:val="en-US" w:eastAsia="zh-CN"/>
              </w:rPr>
              <w:t>支持</w:t>
            </w:r>
            <w:r>
              <w:rPr>
                <w:rFonts w:hint="default" w:ascii="宋体" w:hAnsi="宋体" w:cs="宋体"/>
                <w:b w:val="0"/>
                <w:bCs/>
                <w:color w:val="auto"/>
                <w:lang w:val="en-US" w:eastAsia="zh-CN"/>
              </w:rPr>
              <w:t>可根据任意表头进行排序，支持一键导出，导出支持PDF、WORD、文本、EXCEL等格式</w:t>
            </w:r>
            <w:r>
              <w:rPr>
                <w:rFonts w:hint="eastAsia" w:ascii="宋体" w:hAnsi="宋体" w:cs="宋体"/>
                <w:b w:val="0"/>
                <w:bCs/>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pStyle w:val="28"/>
              <w:numPr>
                <w:ilvl w:val="0"/>
                <w:numId w:val="0"/>
              </w:numPr>
              <w:spacing w:line="360" w:lineRule="auto"/>
              <w:rPr>
                <w:rFonts w:hint="eastAsia" w:ascii="宋体" w:hAnsi="宋体" w:cs="宋体"/>
                <w:b/>
                <w:bCs w:val="0"/>
                <w:color w:val="auto"/>
                <w:lang w:val="en-US" w:eastAsia="zh-CN"/>
              </w:rPr>
            </w:pPr>
            <w:r>
              <w:rPr>
                <w:rFonts w:hint="eastAsia" w:ascii="宋体" w:hAnsi="宋体" w:cs="宋体"/>
                <w:b/>
                <w:bCs w:val="0"/>
                <w:color w:val="auto"/>
                <w:lang w:val="en-US" w:eastAsia="zh-CN"/>
              </w:rPr>
              <w:t>自主分析</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p>
        </w:tc>
        <w:tc>
          <w:tcPr>
            <w:tcW w:w="7132"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r>
              <w:rPr>
                <w:rFonts w:hint="eastAsia" w:ascii="宋体" w:hAnsi="宋体" w:cs="宋体"/>
                <w:b w:val="0"/>
                <w:bCs/>
                <w:color w:val="auto"/>
                <w:lang w:val="en-US" w:eastAsia="zh-CN"/>
              </w:rPr>
              <w:t>支持</w:t>
            </w:r>
            <w:r>
              <w:rPr>
                <w:rFonts w:hint="default" w:ascii="宋体" w:hAnsi="宋体" w:cs="宋体"/>
                <w:b w:val="0"/>
                <w:bCs/>
                <w:color w:val="auto"/>
                <w:lang w:val="en-US" w:eastAsia="zh-CN"/>
              </w:rPr>
              <w:t>设置手术查询、疾病查询、费用查询托拉拽分析，用户可直接对维度和度量进行托拉拽分析。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pStyle w:val="28"/>
              <w:numPr>
                <w:ilvl w:val="0"/>
                <w:numId w:val="0"/>
              </w:numPr>
              <w:spacing w:line="360" w:lineRule="auto"/>
              <w:rPr>
                <w:rFonts w:hint="eastAsia" w:ascii="宋体" w:hAnsi="宋体" w:cs="宋体"/>
                <w:b/>
                <w:bCs w:val="0"/>
                <w:color w:val="auto"/>
                <w:lang w:val="en-US" w:eastAsia="zh-CN"/>
              </w:rPr>
            </w:pPr>
            <w:r>
              <w:rPr>
                <w:rFonts w:hint="eastAsia" w:ascii="宋体" w:hAnsi="宋体" w:cs="宋体"/>
                <w:b/>
                <w:bCs w:val="0"/>
                <w:color w:val="auto"/>
                <w:lang w:val="en-US" w:eastAsia="zh-CN"/>
              </w:rPr>
              <w:t>辅助管理</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color w:val="auto"/>
                <w:sz w:val="21"/>
                <w:szCs w:val="21"/>
                <w:vertAlign w:val="baseline"/>
                <w:lang w:val="en-US" w:eastAsia="zh-CN"/>
              </w:rPr>
            </w:pPr>
          </w:p>
        </w:tc>
        <w:tc>
          <w:tcPr>
            <w:tcW w:w="7132" w:type="dxa"/>
          </w:tcPr>
          <w:p>
            <w:pPr>
              <w:pStyle w:val="28"/>
              <w:numPr>
                <w:ilvl w:val="0"/>
                <w:numId w:val="0"/>
              </w:numPr>
              <w:spacing w:line="360" w:lineRule="auto"/>
              <w:rPr>
                <w:rFonts w:hint="default" w:ascii="宋体" w:hAnsi="宋体" w:cs="宋体"/>
                <w:b w:val="0"/>
                <w:bCs/>
                <w:color w:val="auto"/>
                <w:lang w:val="en-US" w:eastAsia="zh-CN"/>
              </w:rPr>
            </w:pPr>
            <w:r>
              <w:rPr>
                <w:rFonts w:hint="eastAsia" w:ascii="宋体" w:hAnsi="宋体" w:cs="宋体"/>
                <w:b w:val="0"/>
                <w:bCs/>
                <w:color w:val="auto"/>
                <w:lang w:val="en-US" w:eastAsia="zh-CN"/>
              </w:rPr>
              <w:t>支持</w:t>
            </w:r>
            <w:r>
              <w:rPr>
                <w:rFonts w:hint="default" w:ascii="宋体" w:hAnsi="宋体" w:cs="宋体"/>
                <w:b w:val="0"/>
                <w:bCs/>
                <w:color w:val="auto"/>
                <w:lang w:val="en-US" w:eastAsia="zh-CN"/>
              </w:rPr>
              <w:t>编码维护、数据一键式处理功能。</w:t>
            </w:r>
          </w:p>
          <w:p>
            <w:pPr>
              <w:pStyle w:val="28"/>
              <w:numPr>
                <w:ilvl w:val="0"/>
                <w:numId w:val="0"/>
              </w:numPr>
              <w:spacing w:line="360" w:lineRule="auto"/>
              <w:rPr>
                <w:rFonts w:hint="eastAsia" w:ascii="宋体" w:hAnsi="宋体" w:cs="宋体"/>
                <w:b w:val="0"/>
                <w:bCs/>
                <w:color w:val="auto"/>
                <w:lang w:val="en-US" w:eastAsia="zh-CN"/>
              </w:rPr>
            </w:pPr>
            <w:r>
              <w:rPr>
                <w:rFonts w:hint="eastAsia" w:ascii="宋体" w:hAnsi="宋体" w:cs="宋体"/>
                <w:b w:val="0"/>
                <w:bCs/>
                <w:color w:val="auto"/>
                <w:lang w:val="en-US" w:eastAsia="zh-CN"/>
              </w:rPr>
              <w:t>支持用户信息维护与权限分配。</w:t>
            </w:r>
          </w:p>
          <w:p>
            <w:pPr>
              <w:pStyle w:val="28"/>
              <w:numPr>
                <w:ilvl w:val="0"/>
                <w:numId w:val="0"/>
              </w:numPr>
              <w:spacing w:line="360" w:lineRule="auto"/>
              <w:rPr>
                <w:rFonts w:hint="eastAsia" w:ascii="宋体" w:hAnsi="宋体" w:cs="宋体"/>
                <w:b w:val="0"/>
                <w:bCs/>
                <w:color w:val="auto"/>
                <w:lang w:val="en-US" w:eastAsia="zh-CN"/>
              </w:rPr>
            </w:pPr>
            <w:r>
              <w:rPr>
                <w:rFonts w:hint="eastAsia" w:ascii="宋体" w:hAnsi="宋体" w:cs="宋体"/>
                <w:b w:val="0"/>
                <w:bCs/>
                <w:color w:val="auto"/>
                <w:lang w:val="en-US" w:eastAsia="zh-CN"/>
              </w:rPr>
              <w:t>支持DRG病组分析。</w:t>
            </w:r>
          </w:p>
          <w:p>
            <w:pPr>
              <w:pStyle w:val="28"/>
              <w:numPr>
                <w:ilvl w:val="0"/>
                <w:numId w:val="0"/>
              </w:numPr>
              <w:spacing w:line="360" w:lineRule="auto"/>
              <w:rPr>
                <w:rFonts w:hint="eastAsia" w:asciiTheme="minorEastAsia" w:hAnsiTheme="minorEastAsia" w:cstheme="minorEastAsia"/>
                <w:color w:val="auto"/>
                <w:sz w:val="21"/>
                <w:szCs w:val="21"/>
                <w:vertAlign w:val="baseline"/>
                <w:lang w:val="en-US" w:eastAsia="zh-CN"/>
              </w:rPr>
            </w:pPr>
            <w:r>
              <w:rPr>
                <w:rFonts w:hint="eastAsia" w:ascii="宋体" w:hAnsi="宋体" w:cs="宋体"/>
                <w:b w:val="0"/>
                <w:bCs/>
                <w:color w:val="auto"/>
                <w:lang w:val="en-US" w:eastAsia="zh-CN"/>
              </w:rPr>
              <w:t>支持数据自动抽取。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260" w:type="dxa"/>
          </w:tcPr>
          <w:p>
            <w:pPr>
              <w:pStyle w:val="28"/>
              <w:numPr>
                <w:ilvl w:val="0"/>
                <w:numId w:val="0"/>
              </w:numPr>
              <w:spacing w:line="360" w:lineRule="auto"/>
              <w:rPr>
                <w:rFonts w:hint="eastAsia" w:asciiTheme="minorEastAsia" w:hAnsiTheme="minorEastAsia" w:cstheme="minorEastAsia"/>
                <w:color w:val="auto"/>
                <w:sz w:val="21"/>
                <w:szCs w:val="21"/>
                <w:vertAlign w:val="baseline"/>
                <w:lang w:val="en-US" w:eastAsia="zh-CN"/>
              </w:rPr>
            </w:pPr>
            <w:r>
              <w:rPr>
                <w:rFonts w:hint="eastAsia" w:ascii="宋体" w:hAnsi="宋体" w:cs="宋体"/>
                <w:b/>
                <w:bCs w:val="0"/>
                <w:color w:val="auto"/>
                <w:lang w:val="en-US" w:eastAsia="zh-CN"/>
              </w:rPr>
              <w:t>系统管理</w:t>
            </w:r>
          </w:p>
        </w:tc>
        <w:tc>
          <w:tcPr>
            <w:tcW w:w="7132"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宋体" w:hAnsi="宋体" w:cs="宋体"/>
                <w:b w:val="0"/>
                <w:bCs/>
                <w:color w:val="auto"/>
                <w:lang w:val="en-US" w:eastAsia="zh-CN"/>
              </w:rPr>
            </w:pPr>
            <w:r>
              <w:rPr>
                <w:rFonts w:hint="default" w:ascii="宋体" w:hAnsi="宋体" w:cs="宋体"/>
                <w:b w:val="0"/>
                <w:bCs/>
                <w:color w:val="auto"/>
                <w:lang w:val="en-US" w:eastAsia="zh-CN"/>
              </w:rPr>
              <w:t>提供系统</w:t>
            </w:r>
            <w:r>
              <w:rPr>
                <w:rFonts w:hint="eastAsia" w:ascii="宋体" w:hAnsi="宋体" w:cs="宋体"/>
                <w:b w:val="0"/>
                <w:bCs/>
                <w:color w:val="auto"/>
                <w:lang w:val="en-US" w:eastAsia="zh-CN"/>
              </w:rPr>
              <w:t>各项</w:t>
            </w:r>
            <w:r>
              <w:rPr>
                <w:rFonts w:hint="default" w:ascii="宋体" w:hAnsi="宋体" w:cs="宋体"/>
                <w:b w:val="0"/>
                <w:bCs/>
                <w:color w:val="auto"/>
                <w:lang w:val="en-US" w:eastAsia="zh-CN"/>
              </w:rPr>
              <w:t>说明文档。</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outlineLvl w:val="1"/>
        <w:rPr>
          <w:rFonts w:hint="eastAsia" w:asciiTheme="minorEastAsia" w:hAnsiTheme="minorEastAsia" w:eastAsiaTheme="minorEastAsia" w:cstheme="minorEastAsia"/>
          <w:sz w:val="21"/>
          <w:szCs w:val="21"/>
        </w:rPr>
      </w:pPr>
      <w:bookmarkStart w:id="5" w:name="heading_4"/>
      <w:r>
        <w:rPr>
          <w:rFonts w:hint="eastAsia" w:asciiTheme="minorEastAsia" w:hAnsiTheme="minorEastAsia" w:cstheme="minorEastAsia"/>
          <w:b/>
          <w:sz w:val="21"/>
          <w:szCs w:val="21"/>
          <w:lang w:val="en-US" w:eastAsia="zh-CN"/>
        </w:rPr>
        <w:t>4.</w:t>
      </w:r>
      <w:r>
        <w:rPr>
          <w:rFonts w:hint="eastAsia" w:asciiTheme="minorEastAsia" w:hAnsiTheme="minorEastAsia" w:eastAsiaTheme="minorEastAsia" w:cstheme="minorEastAsia"/>
          <w:b/>
          <w:sz w:val="21"/>
          <w:szCs w:val="21"/>
        </w:rPr>
        <w:t>系统升级与接口维护功能</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4.1</w:t>
      </w:r>
      <w:r>
        <w:rPr>
          <w:rFonts w:hint="eastAsia" w:asciiTheme="minorEastAsia" w:hAnsiTheme="minorEastAsia" w:eastAsiaTheme="minorEastAsia" w:cstheme="minorEastAsia"/>
          <w:sz w:val="21"/>
          <w:szCs w:val="21"/>
        </w:rPr>
        <w:t>接口维护功能：维护系统与医院</w:t>
      </w:r>
      <w:r>
        <w:rPr>
          <w:rFonts w:hint="eastAsia" w:asciiTheme="minorEastAsia" w:hAnsiTheme="minorEastAsia" w:cstheme="minorEastAsia"/>
          <w:sz w:val="21"/>
          <w:szCs w:val="21"/>
          <w:lang w:val="en-US" w:eastAsia="zh-CN"/>
        </w:rPr>
        <w:t>his、</w:t>
      </w:r>
      <w:r>
        <w:rPr>
          <w:rFonts w:hint="eastAsia" w:asciiTheme="minorEastAsia" w:hAnsiTheme="minorEastAsia" w:cstheme="minorEastAsia"/>
          <w:sz w:val="21"/>
          <w:szCs w:val="21"/>
          <w:lang w:eastAsia="zh-CN"/>
        </w:rPr>
        <w:t>病案</w:t>
      </w:r>
      <w:r>
        <w:rPr>
          <w:rFonts w:hint="eastAsia" w:asciiTheme="minorEastAsia" w:hAnsiTheme="minorEastAsia" w:eastAsiaTheme="minorEastAsia" w:cstheme="minorEastAsia"/>
          <w:sz w:val="21"/>
          <w:szCs w:val="21"/>
        </w:rPr>
        <w:t>系统等相关系统的接口，确保接口通畅、数据交互准确，解决接口中断、数据同步异常等问题，保障全院信息系统一体化运行。</w:t>
      </w:r>
    </w:p>
    <w:p>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outlineLvl w:val="1"/>
        <w:rPr>
          <w:rFonts w:hint="eastAsia" w:asciiTheme="minorEastAsia" w:hAnsiTheme="minorEastAsia" w:eastAsiaTheme="minorEastAsia" w:cstheme="minorEastAsia"/>
          <w:sz w:val="21"/>
          <w:szCs w:val="21"/>
        </w:rPr>
      </w:pPr>
      <w:bookmarkStart w:id="6" w:name="heading_6"/>
      <w:r>
        <w:rPr>
          <w:rFonts w:hint="eastAsia" w:asciiTheme="minorEastAsia" w:hAnsiTheme="minorEastAsia" w:cstheme="minorEastAsia"/>
          <w:b/>
          <w:sz w:val="21"/>
          <w:szCs w:val="21"/>
          <w:lang w:val="en-US" w:eastAsia="zh-CN"/>
        </w:rPr>
        <w:t>5.</w:t>
      </w:r>
      <w:r>
        <w:rPr>
          <w:rFonts w:hint="eastAsia" w:asciiTheme="minorEastAsia" w:hAnsiTheme="minorEastAsia" w:eastAsiaTheme="minorEastAsia" w:cstheme="minorEastAsia"/>
          <w:b/>
          <w:sz w:val="21"/>
          <w:szCs w:val="21"/>
        </w:rPr>
        <w:t>数据安全与合规保障功能</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5.1</w:t>
      </w:r>
      <w:r>
        <w:rPr>
          <w:rFonts w:hint="eastAsia" w:asciiTheme="minorEastAsia" w:hAnsiTheme="minorEastAsia" w:eastAsiaTheme="minorEastAsia" w:cstheme="minorEastAsia"/>
          <w:sz w:val="21"/>
          <w:szCs w:val="21"/>
        </w:rPr>
        <w:t>安全防护功能：定期对系统进行安全漏洞检测、病毒查杀，修复安全隐患，落实数据加密、访问控制、防篡改等安全措施，保障病案首页患者隐私数据、医疗核心数据安全，符合《个人信息保护法》《医疗卫生机构网络安全管理办法》要求。</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bookmarkStart w:id="8" w:name="_GoBack"/>
      <w:bookmarkEnd w:id="8"/>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合规保障功能：确保系统运行、数据处理、统计上报等环节符合国家及广东省病案管理、医疗质量控制、卫生统计、医保监管等相关法规政策，避免因系统不合规导致的监管通报、处罚等风险。</w:t>
      </w:r>
    </w:p>
    <w:bookmarkEnd w:id="2"/>
    <w:p>
      <w:pPr>
        <w:spacing w:line="360" w:lineRule="auto"/>
        <w:rPr>
          <w:rFonts w:ascii="宋体" w:hAnsi="宋体" w:cs="宋体"/>
          <w:b/>
        </w:rPr>
      </w:pPr>
      <w:bookmarkStart w:id="7" w:name="_Toc847"/>
      <w:r>
        <w:rPr>
          <w:rFonts w:hint="eastAsia" w:ascii="宋体" w:hAnsi="宋体" w:cs="宋体"/>
          <w:b/>
        </w:rPr>
        <w:t>五、项目商务要求</w:t>
      </w:r>
      <w:bookmarkEnd w:id="7"/>
    </w:p>
    <w:p>
      <w:pPr>
        <w:spacing w:line="360" w:lineRule="auto"/>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1．维保时间：</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合同签订之日起</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年。</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2．维保地点：</w:t>
      </w:r>
      <w:r>
        <w:rPr>
          <w:rFonts w:hint="eastAsia" w:ascii="宋体" w:hAnsi="宋体" w:cs="宋体"/>
          <w:color w:val="000000" w:themeColor="text1"/>
          <w14:textFill>
            <w14:solidFill>
              <w14:schemeClr w14:val="tx1"/>
            </w14:solidFill>
          </w14:textFill>
        </w:rPr>
        <w:t>惠州市中大惠亚医院</w:t>
      </w:r>
    </w:p>
    <w:p>
      <w:pPr>
        <w:spacing w:line="360" w:lineRule="auto"/>
        <w:rPr>
          <w:rFonts w:ascii="宋体" w:hAnsi="宋体" w:cs="宋体"/>
          <w:b/>
        </w:rPr>
      </w:pPr>
      <w:r>
        <w:rPr>
          <w:rFonts w:hint="eastAsia" w:ascii="宋体" w:hAnsi="宋体" w:cs="宋体"/>
          <w:b/>
        </w:rPr>
        <w:t>3．验收要求：</w:t>
      </w:r>
    </w:p>
    <w:p>
      <w:pPr>
        <w:spacing w:line="360" w:lineRule="auto"/>
        <w:rPr>
          <w:rFonts w:ascii="宋体" w:hAnsi="宋体" w:cs="宋体"/>
        </w:rPr>
      </w:pPr>
      <w:r>
        <w:rPr>
          <w:rFonts w:hint="eastAsia" w:ascii="宋体" w:hAnsi="宋体" w:cs="宋体"/>
        </w:rPr>
        <w:t>（1）按年度考核维保服务进度完成情况，中标人每年度提交维保服务报告，并准备相关材料，采购人组织相关人员进行考核验收。</w:t>
      </w:r>
    </w:p>
    <w:p>
      <w:pPr>
        <w:spacing w:line="360" w:lineRule="auto"/>
        <w:rPr>
          <w:rFonts w:ascii="宋体" w:hAnsi="宋体" w:cs="宋体"/>
        </w:rPr>
      </w:pPr>
      <w:r>
        <w:rPr>
          <w:rFonts w:hint="eastAsia" w:ascii="宋体" w:hAnsi="宋体" w:cs="宋体"/>
        </w:rPr>
        <w:t>（2）安全维保：系统服务器、客户端、软件模块应用、等业务涉及环节维保，出现问题时能远程处理。</w:t>
      </w:r>
    </w:p>
    <w:p>
      <w:pPr>
        <w:spacing w:line="360" w:lineRule="auto"/>
        <w:rPr>
          <w:rFonts w:hint="eastAsia" w:ascii="宋体" w:hAnsi="宋体" w:cs="宋体"/>
          <w:b/>
        </w:rPr>
      </w:pPr>
      <w:r>
        <w:rPr>
          <w:rFonts w:hint="eastAsia" w:ascii="宋体" w:hAnsi="宋体" w:cs="宋体"/>
          <w:b/>
        </w:rPr>
        <w:t>4．响应时间：</w:t>
      </w:r>
    </w:p>
    <w:p>
      <w:pPr>
        <w:spacing w:line="360" w:lineRule="auto"/>
        <w:rPr>
          <w:rFonts w:hint="eastAsia" w:ascii="宋体" w:hAnsi="宋体" w:cs="宋体"/>
          <w:color w:val="000000"/>
          <w:szCs w:val="21"/>
        </w:rPr>
      </w:pPr>
      <w:r>
        <w:rPr>
          <w:rFonts w:hint="eastAsia" w:ascii="宋体" w:hAnsi="宋体" w:cs="宋体"/>
          <w:b w:val="0"/>
          <w:bCs/>
          <w:lang w:val="en-US" w:eastAsia="zh-CN"/>
        </w:rPr>
        <w:t>(1)</w:t>
      </w:r>
      <w:r>
        <w:rPr>
          <w:rFonts w:hint="eastAsia" w:ascii="宋体" w:hAnsi="宋体" w:cs="宋体"/>
          <w:color w:val="000000"/>
          <w:szCs w:val="21"/>
        </w:rPr>
        <w:t>服务响应时间为全年7×24小时随时响应，对于必须派人现场解决的问题，保证在收到现场服务通知后，4小时内到达现场，24小时内解决故障；一年内每三个月一次系统安全检测。若组织调整或业务流程变更，提供及时的变更服务。</w:t>
      </w:r>
    </w:p>
    <w:p>
      <w:pPr>
        <w:spacing w:line="360" w:lineRule="auto"/>
        <w:jc w:val="left"/>
        <w:rPr>
          <w:rFonts w:hint="eastAsia" w:asciiTheme="minorEastAsia" w:hAnsiTheme="minorEastAsia"/>
          <w:color w:val="auto"/>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提供7×24小时技术咨询服务，解答系统用户（信息中心、医务科、质控科、医保科、临床科室等）在系统操作、数据处理、功能使用过程中遇到的问题，提供远程或现场技术指导。</w:t>
      </w:r>
    </w:p>
    <w:p>
      <w:pPr>
        <w:spacing w:line="360" w:lineRule="auto"/>
        <w:rPr>
          <w:rFonts w:hint="eastAsia" w:ascii="宋体" w:hAnsi="宋体" w:cs="宋体"/>
          <w:color w:val="000000"/>
          <w:szCs w:val="21"/>
        </w:rPr>
      </w:pPr>
    </w:p>
    <w:p>
      <w:pPr>
        <w:spacing w:line="360" w:lineRule="auto"/>
        <w:rPr>
          <w:rFonts w:ascii="仿宋" w:hAnsi="仿宋" w:eastAsia="仿宋" w:cs="宋体"/>
          <w:color w:val="FF0000"/>
        </w:rPr>
      </w:pPr>
      <w:r>
        <w:rPr>
          <w:rFonts w:hint="eastAsia" w:ascii="宋体" w:hAnsi="宋体" w:cs="宋体"/>
          <w:b/>
          <w:lang w:val="en-US" w:eastAsia="zh-CN"/>
        </w:rPr>
        <w:t>5</w:t>
      </w:r>
      <w:r>
        <w:rPr>
          <w:rFonts w:hint="eastAsia" w:ascii="宋体" w:hAnsi="宋体" w:cs="宋体"/>
          <w:b/>
        </w:rPr>
        <w:t>．售后服务要求：</w:t>
      </w:r>
    </w:p>
    <w:p>
      <w:pPr>
        <w:spacing w:line="360" w:lineRule="auto"/>
        <w:rPr>
          <w:rFonts w:ascii="宋体" w:hAnsi="宋体" w:cs="宋体"/>
          <w:color w:val="auto"/>
        </w:rPr>
      </w:pPr>
      <w:r>
        <w:rPr>
          <w:rFonts w:hint="eastAsia" w:ascii="宋体" w:hAnsi="宋体" w:cs="宋体"/>
          <w:color w:val="auto"/>
        </w:rPr>
        <w:t>（1）</w:t>
      </w:r>
      <w:r>
        <w:rPr>
          <w:rFonts w:hint="eastAsia" w:ascii="宋体" w:hAnsi="宋体" w:cs="宋体"/>
          <w:color w:val="auto"/>
          <w:lang w:eastAsia="zh-CN"/>
        </w:rPr>
        <w:t>维保</w:t>
      </w:r>
      <w:r>
        <w:rPr>
          <w:rFonts w:hint="eastAsia" w:ascii="宋体" w:hAnsi="宋体" w:cs="宋体"/>
          <w:color w:val="auto"/>
        </w:rPr>
        <w:t>期</w:t>
      </w:r>
      <w:r>
        <w:rPr>
          <w:rFonts w:hint="eastAsia" w:ascii="宋体" w:hAnsi="宋体" w:cs="宋体"/>
          <w:color w:val="auto"/>
          <w:lang w:eastAsia="zh-CN"/>
        </w:rPr>
        <w:t>内开展系统维护所需的人力、税费等所有</w:t>
      </w:r>
      <w:r>
        <w:rPr>
          <w:rFonts w:hint="eastAsia" w:ascii="宋体" w:hAnsi="宋体" w:cs="宋体"/>
          <w:color w:val="auto"/>
        </w:rPr>
        <w:t>费用</w:t>
      </w:r>
      <w:r>
        <w:rPr>
          <w:rFonts w:hint="eastAsia" w:ascii="宋体" w:hAnsi="宋体" w:cs="宋体"/>
          <w:color w:val="auto"/>
          <w:lang w:eastAsia="zh-CN"/>
        </w:rPr>
        <w:t>需包含在内</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color w:val="auto"/>
        </w:rPr>
        <w:t>（2）要求投标人具有快速到达现场维护、应急抢修的能力，应对现场维护、应急抢修措施等情况</w:t>
      </w:r>
      <w:r>
        <w:rPr>
          <w:rFonts w:hint="eastAsia" w:ascii="宋体" w:hAnsi="宋体" w:cs="宋体"/>
          <w:color w:val="auto"/>
          <w:lang w:eastAsia="zh-CN"/>
        </w:rPr>
        <w:t>，提供应急现场技术支持服务</w:t>
      </w:r>
      <w:r>
        <w:rPr>
          <w:rFonts w:hint="eastAsia" w:ascii="宋体" w:hAnsi="宋体" w:cs="宋体"/>
          <w:color w:val="auto"/>
        </w:rPr>
        <w:t>。</w:t>
      </w:r>
    </w:p>
    <w:p>
      <w:pPr>
        <w:spacing w:line="360" w:lineRule="auto"/>
        <w:rPr>
          <w:rFonts w:asciiTheme="minorEastAsia" w:hAnsiTheme="minorEastAsia"/>
          <w:color w:val="auto"/>
        </w:rPr>
      </w:pPr>
      <w:r>
        <w:rPr>
          <w:rFonts w:hint="eastAsia" w:ascii="宋体" w:hAnsi="宋体" w:cs="宋体"/>
          <w:color w:val="auto"/>
        </w:rPr>
        <w:t>（3）要求</w:t>
      </w:r>
      <w:r>
        <w:rPr>
          <w:rFonts w:hint="eastAsia" w:ascii="宋体" w:hAnsi="宋体" w:cs="宋体"/>
          <w:color w:val="auto"/>
          <w:lang w:eastAsia="zh-CN"/>
        </w:rPr>
        <w:t>投标人维保期</w:t>
      </w:r>
      <w:r>
        <w:rPr>
          <w:rFonts w:hint="eastAsia" w:ascii="宋体" w:hAnsi="宋体" w:cs="宋体"/>
          <w:color w:val="auto"/>
        </w:rPr>
        <w:t>内提供远程技术支持服务。</w:t>
      </w:r>
    </w:p>
    <w:p>
      <w:pPr>
        <w:spacing w:line="360" w:lineRule="auto"/>
        <w:jc w:val="left"/>
        <w:rPr>
          <w:rFonts w:asciiTheme="minorEastAsia" w:hAnsiTheme="minorEastAsia"/>
          <w:color w:val="auto"/>
        </w:rPr>
      </w:pPr>
      <w:r>
        <w:rPr>
          <w:rFonts w:hint="eastAsia" w:asciiTheme="minorEastAsia" w:hAnsiTheme="minorEastAsia"/>
          <w:color w:val="auto"/>
        </w:rPr>
        <w:t>（4）</w:t>
      </w:r>
      <w:r>
        <w:rPr>
          <w:rFonts w:asciiTheme="minorEastAsia" w:hAnsiTheme="minorEastAsia"/>
          <w:color w:val="auto"/>
        </w:rPr>
        <w:t>对硬件设备和系统软件配合供应厂商提供服务</w:t>
      </w:r>
      <w:r>
        <w:rPr>
          <w:rFonts w:hint="eastAsia" w:asciiTheme="minorEastAsia" w:hAnsiTheme="minorEastAsia"/>
          <w:color w:val="auto"/>
        </w:rPr>
        <w:t>。</w:t>
      </w:r>
    </w:p>
    <w:p>
      <w:pPr>
        <w:spacing w:line="360" w:lineRule="auto"/>
        <w:jc w:val="left"/>
        <w:rPr>
          <w:rFonts w:hint="eastAsia" w:asciiTheme="minorEastAsia" w:hAnsiTheme="minorEastAsia"/>
          <w:color w:val="auto"/>
        </w:rPr>
      </w:pPr>
      <w:r>
        <w:rPr>
          <w:rFonts w:hint="eastAsia" w:asciiTheme="minorEastAsia" w:hAnsiTheme="minorEastAsia"/>
          <w:color w:val="auto"/>
        </w:rPr>
        <w:t>（5）</w:t>
      </w:r>
      <w:r>
        <w:rPr>
          <w:rFonts w:asciiTheme="minorEastAsia" w:hAnsiTheme="minorEastAsia"/>
          <w:color w:val="auto"/>
        </w:rPr>
        <w:t>对医院在使用系统过程中出现的技术问题提供技术指导</w:t>
      </w:r>
      <w:r>
        <w:rPr>
          <w:rFonts w:hint="eastAsia" w:asciiTheme="minorEastAsia" w:hAnsiTheme="minorEastAsia"/>
          <w:color w:val="auto"/>
        </w:rPr>
        <w:t>。</w:t>
      </w:r>
    </w:p>
    <w:p>
      <w:pPr>
        <w:spacing w:line="360" w:lineRule="auto"/>
        <w:jc w:val="left"/>
        <w:rPr>
          <w:rFonts w:asciiTheme="minorEastAsia" w:hAnsiTheme="minorEastAsia"/>
          <w:color w:val="auto"/>
        </w:rPr>
      </w:pPr>
      <w:r>
        <w:rPr>
          <w:rFonts w:hint="eastAsia" w:asciiTheme="minorEastAsia" w:hAnsiTheme="minorEastAsia"/>
          <w:color w:val="auto"/>
        </w:rPr>
        <w:t>（6）提供文档设备及纪录管理信息系统</w:t>
      </w:r>
      <w:r>
        <w:rPr>
          <w:rFonts w:asciiTheme="minorEastAsia" w:hAnsiTheme="minorEastAsia"/>
          <w:color w:val="auto"/>
        </w:rPr>
        <w:t>正确性维护</w:t>
      </w:r>
      <w:r>
        <w:rPr>
          <w:rFonts w:hint="eastAsia" w:asciiTheme="minorEastAsia" w:hAnsiTheme="minorEastAsia"/>
          <w:color w:val="auto"/>
        </w:rPr>
        <w:t>。</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（7）</w:t>
      </w:r>
      <w:r>
        <w:rPr>
          <w:rFonts w:hint="eastAsia" w:asciiTheme="minorEastAsia" w:hAnsiTheme="minorEastAsia"/>
          <w:color w:val="auto"/>
          <w:szCs w:val="21"/>
          <w:lang w:eastAsia="zh-CN"/>
        </w:rPr>
        <w:t>提供</w:t>
      </w:r>
      <w:r>
        <w:rPr>
          <w:rFonts w:hint="eastAsia" w:asciiTheme="minorEastAsia" w:hAnsiTheme="minorEastAsia"/>
          <w:color w:val="auto"/>
          <w:szCs w:val="21"/>
        </w:rPr>
        <w:t>文档设备及纪录管理信息系统定期的检查维护。</w:t>
      </w:r>
    </w:p>
    <w:p>
      <w:pPr>
        <w:spacing w:line="360" w:lineRule="auto"/>
        <w:jc w:val="left"/>
        <w:rPr>
          <w:rFonts w:hint="eastAsia" w:asciiTheme="minorEastAsia" w:hAnsiTheme="minorEastAsia"/>
          <w:color w:val="auto"/>
        </w:rPr>
      </w:pPr>
      <w:r>
        <w:rPr>
          <w:rFonts w:hint="eastAsia" w:asciiTheme="minorEastAsia" w:hAnsiTheme="minorEastAsia"/>
          <w:color w:val="auto"/>
        </w:rPr>
        <w:t>（8）</w:t>
      </w:r>
      <w:r>
        <w:rPr>
          <w:rFonts w:asciiTheme="minorEastAsia" w:hAnsiTheme="minorEastAsia"/>
          <w:color w:val="auto"/>
        </w:rPr>
        <w:t>非系统原因导致系统故障、数据错误等，如医院使用不当、病毒等原因引起的</w:t>
      </w:r>
      <w:r>
        <w:rPr>
          <w:rFonts w:hint="eastAsia" w:asciiTheme="minorEastAsia" w:hAnsiTheme="minorEastAsia"/>
          <w:color w:val="auto"/>
          <w:szCs w:val="21"/>
        </w:rPr>
        <w:t>文档设备及纪录管理信息系统</w:t>
      </w:r>
      <w:r>
        <w:rPr>
          <w:rFonts w:asciiTheme="minorEastAsia" w:hAnsiTheme="minorEastAsia"/>
          <w:color w:val="auto"/>
        </w:rPr>
        <w:t>、数据</w:t>
      </w:r>
      <w:r>
        <w:rPr>
          <w:rFonts w:hint="eastAsia" w:asciiTheme="minorEastAsia" w:hAnsiTheme="minorEastAsia"/>
          <w:color w:val="auto"/>
        </w:rPr>
        <w:t>库</w:t>
      </w:r>
      <w:r>
        <w:rPr>
          <w:rFonts w:asciiTheme="minorEastAsia" w:hAnsiTheme="minorEastAsia"/>
          <w:color w:val="auto"/>
        </w:rPr>
        <w:t>、系统软件、操作系统损坏等，需要提供</w:t>
      </w:r>
      <w:r>
        <w:rPr>
          <w:rFonts w:hint="eastAsia" w:asciiTheme="minorEastAsia" w:hAnsiTheme="minorEastAsia"/>
          <w:color w:val="auto"/>
        </w:rPr>
        <w:t>维护</w:t>
      </w:r>
      <w:r>
        <w:rPr>
          <w:rFonts w:hint="eastAsia" w:asciiTheme="minorEastAsia" w:hAnsiTheme="minorEastAsia"/>
          <w:color w:val="auto"/>
          <w:lang w:eastAsia="zh-CN"/>
        </w:rPr>
        <w:t>恢复</w:t>
      </w:r>
      <w:r>
        <w:rPr>
          <w:rFonts w:asciiTheme="minorEastAsia" w:hAnsiTheme="minorEastAsia"/>
          <w:color w:val="auto"/>
        </w:rPr>
        <w:t>服</w:t>
      </w:r>
      <w:r>
        <w:rPr>
          <w:rFonts w:hint="eastAsia" w:asciiTheme="minorEastAsia" w:hAnsiTheme="minorEastAsia"/>
          <w:color w:val="auto"/>
        </w:rPr>
        <w:t>务。</w:t>
      </w:r>
    </w:p>
    <w:p>
      <w:pPr>
        <w:spacing w:line="360" w:lineRule="auto"/>
        <w:jc w:val="left"/>
        <w:rPr>
          <w:rFonts w:hint="default" w:asciiTheme="minorEastAsia" w:hAnsiTheme="minorEastAsia" w:eastAsiaTheme="minorEastAsia"/>
          <w:color w:val="auto"/>
          <w:lang w:val="en-US" w:eastAsia="zh-CN"/>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9</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根据系统更新、功能优化及用户需求，定期开展系统操作培训、功能使用培训，覆盖各相关科室用户，确保用户熟练掌握系统操作技巧，提升工作效率。</w:t>
      </w:r>
    </w:p>
    <w:p>
      <w:pPr>
        <w:spacing w:line="360" w:lineRule="auto"/>
        <w:jc w:val="left"/>
        <w:rPr>
          <w:rFonts w:asciiTheme="minorEastAsia" w:hAnsiTheme="minorEastAsia"/>
          <w:color w:val="auto"/>
        </w:rPr>
      </w:pPr>
      <w:r>
        <w:rPr>
          <w:rFonts w:hint="eastAsia" w:asciiTheme="minorEastAsia" w:hAnsiTheme="minorEastAsia"/>
          <w:color w:val="auto"/>
        </w:rPr>
        <w:t>（</w:t>
      </w:r>
      <w:r>
        <w:rPr>
          <w:rFonts w:hint="eastAsia" w:asciiTheme="minorEastAsia" w:hAnsiTheme="minorEastAsia"/>
          <w:color w:val="auto"/>
          <w:lang w:val="en-US" w:eastAsia="zh-CN"/>
        </w:rPr>
        <w:t>10</w:t>
      </w:r>
      <w:r>
        <w:rPr>
          <w:rFonts w:hint="eastAsia" w:asciiTheme="minorEastAsia" w:hAnsiTheme="minorEastAsia"/>
          <w:color w:val="auto"/>
        </w:rPr>
        <w:t>）根据医院业务发展的需要，向医院提供现有版本稳定运行。</w:t>
      </w:r>
    </w:p>
    <w:p>
      <w:pPr>
        <w:spacing w:line="360" w:lineRule="auto"/>
        <w:rPr>
          <w:rFonts w:ascii="宋体" w:hAnsi="宋体" w:cs="宋体"/>
          <w:b/>
        </w:rPr>
      </w:pPr>
      <w:r>
        <w:rPr>
          <w:rFonts w:hint="eastAsia" w:ascii="宋体" w:hAnsi="宋体" w:cs="宋体"/>
          <w:b/>
          <w:lang w:val="en-US" w:eastAsia="zh-CN"/>
        </w:rPr>
        <w:t>6</w:t>
      </w:r>
      <w:r>
        <w:rPr>
          <w:rFonts w:hint="eastAsia" w:ascii="宋体" w:hAnsi="宋体" w:cs="宋体"/>
          <w:b/>
        </w:rPr>
        <w:t>．培训要求：</w:t>
      </w:r>
    </w:p>
    <w:p>
      <w:pPr>
        <w:spacing w:line="360" w:lineRule="auto"/>
        <w:rPr>
          <w:rFonts w:ascii="宋体" w:hAnsi="宋体" w:cs="宋体"/>
        </w:rPr>
      </w:pPr>
      <w:r>
        <w:rPr>
          <w:rFonts w:hint="eastAsia" w:ascii="宋体" w:hAnsi="宋体" w:cs="宋体"/>
        </w:rPr>
        <w:t>（1）制定详细的培训方案，提供技术培训、操作培训和现场指导，完成对开发技术及工具等在内的全部免费培训。培训方案要详细描述培训的具体内容和时间安排。</w:t>
      </w:r>
    </w:p>
    <w:p>
      <w:pPr>
        <w:spacing w:line="360" w:lineRule="auto"/>
        <w:rPr>
          <w:rFonts w:ascii="宋体" w:hAnsi="宋体" w:cs="宋体"/>
        </w:rPr>
      </w:pPr>
      <w:r>
        <w:rPr>
          <w:rFonts w:hint="eastAsia" w:ascii="黑体" w:hAnsi="黑体" w:eastAsia="黑体" w:cs="宋体"/>
        </w:rPr>
        <w:t>（2）</w:t>
      </w:r>
      <w:r>
        <w:rPr>
          <w:rFonts w:hint="eastAsia" w:ascii="宋体" w:hAnsi="宋体" w:cs="宋体"/>
        </w:rPr>
        <w:t>培训方式应包括技术讲课、操作示范、参观学习和其它必须的业务指导和技术咨询，确保培训人员对系统基本原理、技术特性、操作规范、运行规程、管理维护等方面获得全面了解和掌握。</w:t>
      </w:r>
    </w:p>
    <w:p>
      <w:pPr>
        <w:spacing w:line="360" w:lineRule="auto"/>
        <w:rPr>
          <w:rFonts w:asciiTheme="minorEastAsia" w:hAnsiTheme="minorEastAsia"/>
          <w:szCs w:val="21"/>
        </w:rPr>
      </w:pPr>
      <w:r>
        <w:rPr>
          <w:rFonts w:hint="eastAsia" w:asciiTheme="minorEastAsia" w:hAnsiTheme="minorEastAsia"/>
          <w:szCs w:val="21"/>
        </w:rPr>
        <w:t>（3）技术培训应包含包括 1）</w:t>
      </w:r>
      <w:r>
        <w:rPr>
          <w:rFonts w:asciiTheme="minorEastAsia" w:hAnsiTheme="minorEastAsia"/>
          <w:szCs w:val="21"/>
        </w:rPr>
        <w:t>系统的日常操作管理与维护，并对一般性故障进行诊断、排除与恢复；</w:t>
      </w:r>
      <w:r>
        <w:rPr>
          <w:rFonts w:hint="eastAsia" w:asciiTheme="minorEastAsia" w:hAnsiTheme="minorEastAsia"/>
          <w:szCs w:val="21"/>
        </w:rPr>
        <w:t>2）</w:t>
      </w:r>
      <w:r>
        <w:rPr>
          <w:rFonts w:asciiTheme="minorEastAsia" w:hAnsiTheme="minorEastAsia"/>
          <w:szCs w:val="21"/>
        </w:rPr>
        <w:t>能建立相应软件的管理策略；</w:t>
      </w:r>
      <w:r>
        <w:rPr>
          <w:rFonts w:hint="eastAsia" w:asciiTheme="minorEastAsia" w:hAnsiTheme="minorEastAsia"/>
          <w:szCs w:val="21"/>
        </w:rPr>
        <w:t>3）提供对应的基础字典数据库文档并指导信息科人员操作数据库。</w:t>
      </w:r>
    </w:p>
    <w:p>
      <w:pPr>
        <w:spacing w:line="360" w:lineRule="auto"/>
        <w:rPr>
          <w:rFonts w:ascii="宋体" w:hAnsi="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7</w:t>
      </w:r>
      <w:r>
        <w:rPr>
          <w:rFonts w:hint="eastAsia" w:ascii="宋体" w:hAnsi="宋体" w:cs="宋体"/>
          <w:b/>
          <w:color w:val="000000" w:themeColor="text1"/>
          <w14:textFill>
            <w14:solidFill>
              <w14:schemeClr w14:val="tx1"/>
            </w14:solidFill>
          </w14:textFill>
        </w:rPr>
        <w:t>．付款方式：</w:t>
      </w:r>
    </w:p>
    <w:p>
      <w:pPr>
        <w:spacing w:line="500" w:lineRule="exact"/>
        <w:rPr>
          <w:rFonts w:ascii="宋体" w:hAnsi="宋体" w:cs="宋体"/>
          <w:color w:val="000000"/>
        </w:rPr>
      </w:pPr>
      <w:r>
        <w:rPr>
          <w:rFonts w:hint="eastAsia" w:ascii="宋体" w:hAnsi="宋体" w:cs="宋体"/>
          <w:color w:val="000000"/>
        </w:rPr>
        <w:t>（1）合同签订后，15个工作日内，凭中标人提供的正式发票，采购人向中标人支付相应合同额的</w:t>
      </w:r>
      <w:r>
        <w:rPr>
          <w:rFonts w:hint="eastAsia" w:ascii="宋体" w:hAnsi="宋体" w:cs="宋体"/>
          <w:color w:val="000000"/>
          <w:lang w:val="en-US" w:eastAsia="zh-CN"/>
        </w:rPr>
        <w:t>1</w:t>
      </w:r>
      <w:r>
        <w:rPr>
          <w:rFonts w:hint="eastAsia" w:ascii="宋体" w:hAnsi="宋体" w:cs="宋体"/>
          <w:color w:val="000000"/>
        </w:rPr>
        <w:t>0%；</w:t>
      </w:r>
    </w:p>
    <w:p>
      <w:pPr>
        <w:spacing w:line="500" w:lineRule="exact"/>
        <w:rPr>
          <w:rFonts w:hint="eastAsia" w:ascii="宋体" w:hAnsi="宋体" w:cs="宋体"/>
          <w:color w:val="000000"/>
        </w:rPr>
      </w:pPr>
      <w:r>
        <w:rPr>
          <w:rFonts w:hint="eastAsia" w:ascii="宋体" w:hAnsi="宋体" w:cs="宋体"/>
          <w:color w:val="000000"/>
        </w:rPr>
        <w:t>（2）维保服务满一年，凭相应的任务进度报告经采购人签字确认后，凭中标人提供的正式发票，采购人向中标人支付相应合同额的</w:t>
      </w:r>
      <w:r>
        <w:rPr>
          <w:rFonts w:hint="eastAsia" w:ascii="宋体" w:hAnsi="宋体" w:cs="宋体"/>
          <w:color w:val="000000"/>
          <w:lang w:val="en-US" w:eastAsia="zh-CN"/>
        </w:rPr>
        <w:t>3</w:t>
      </w:r>
      <w:r>
        <w:rPr>
          <w:rFonts w:hint="eastAsia" w:ascii="宋体" w:hAnsi="宋体" w:cs="宋体"/>
          <w:color w:val="000000"/>
        </w:rPr>
        <w:t>0%。</w:t>
      </w:r>
    </w:p>
    <w:p>
      <w:pPr>
        <w:spacing w:line="500" w:lineRule="exact"/>
        <w:rPr>
          <w:rFonts w:hint="eastAsia" w:ascii="宋体" w:hAnsi="宋体" w:cs="宋体"/>
          <w:color w:val="000000"/>
        </w:rPr>
      </w:pPr>
      <w:r>
        <w:rPr>
          <w:rFonts w:hint="eastAsia" w:ascii="宋体" w:hAnsi="宋体" w:cs="宋体"/>
          <w:color w:val="000000"/>
          <w:lang w:eastAsia="zh-CN"/>
        </w:rPr>
        <w:t>（</w:t>
      </w:r>
      <w:r>
        <w:rPr>
          <w:rFonts w:hint="eastAsia" w:ascii="宋体" w:hAnsi="宋体" w:cs="宋体"/>
          <w:color w:val="000000"/>
          <w:lang w:val="en-US" w:eastAsia="zh-CN"/>
        </w:rPr>
        <w:t>3</w:t>
      </w:r>
      <w:r>
        <w:rPr>
          <w:rFonts w:hint="eastAsia" w:ascii="宋体" w:hAnsi="宋体" w:cs="宋体"/>
          <w:color w:val="000000"/>
          <w:lang w:eastAsia="zh-CN"/>
        </w:rPr>
        <w:t>）</w:t>
      </w:r>
      <w:r>
        <w:rPr>
          <w:rFonts w:hint="eastAsia" w:ascii="宋体" w:hAnsi="宋体" w:cs="宋体"/>
          <w:color w:val="000000"/>
        </w:rPr>
        <w:t>维保服务满</w:t>
      </w:r>
      <w:r>
        <w:rPr>
          <w:rFonts w:hint="eastAsia" w:ascii="宋体" w:hAnsi="宋体" w:cs="宋体"/>
          <w:color w:val="000000"/>
          <w:lang w:eastAsia="zh-CN"/>
        </w:rPr>
        <w:t>二</w:t>
      </w:r>
      <w:r>
        <w:rPr>
          <w:rFonts w:hint="eastAsia" w:ascii="宋体" w:hAnsi="宋体" w:cs="宋体"/>
          <w:color w:val="000000"/>
        </w:rPr>
        <w:t>年，凭相应的任务进度报告经采购人签字确认后，凭中标人提供的正式发票，采购人向中标人支付相应合同额的</w:t>
      </w:r>
      <w:r>
        <w:rPr>
          <w:rFonts w:hint="eastAsia" w:ascii="宋体" w:hAnsi="宋体" w:cs="宋体"/>
          <w:color w:val="000000"/>
          <w:lang w:val="en-US" w:eastAsia="zh-CN"/>
        </w:rPr>
        <w:t>3</w:t>
      </w:r>
      <w:r>
        <w:rPr>
          <w:rFonts w:hint="eastAsia" w:ascii="宋体" w:hAnsi="宋体" w:cs="宋体"/>
          <w:color w:val="000000"/>
        </w:rPr>
        <w:t>0%。</w:t>
      </w:r>
    </w:p>
    <w:p>
      <w:pPr>
        <w:spacing w:line="500" w:lineRule="exact"/>
        <w:rPr>
          <w:szCs w:val="21"/>
        </w:rPr>
      </w:pPr>
      <w:r>
        <w:rPr>
          <w:rFonts w:hint="eastAsia" w:ascii="宋体" w:hAnsi="宋体" w:cs="宋体"/>
          <w:color w:val="000000"/>
          <w:lang w:eastAsia="zh-CN"/>
        </w:rPr>
        <w:t>（</w:t>
      </w:r>
      <w:r>
        <w:rPr>
          <w:rFonts w:hint="eastAsia" w:ascii="宋体" w:hAnsi="宋体" w:cs="宋体"/>
          <w:color w:val="000000"/>
          <w:lang w:val="en-US" w:eastAsia="zh-CN"/>
        </w:rPr>
        <w:t>4</w:t>
      </w:r>
      <w:r>
        <w:rPr>
          <w:rFonts w:hint="eastAsia" w:ascii="宋体" w:hAnsi="宋体" w:cs="宋体"/>
          <w:color w:val="000000"/>
          <w:lang w:eastAsia="zh-CN"/>
        </w:rPr>
        <w:t>）</w:t>
      </w:r>
      <w:r>
        <w:rPr>
          <w:rFonts w:hint="eastAsia" w:ascii="宋体" w:hAnsi="宋体" w:cs="宋体"/>
          <w:color w:val="000000"/>
        </w:rPr>
        <w:t>维保服务满</w:t>
      </w:r>
      <w:r>
        <w:rPr>
          <w:rFonts w:hint="eastAsia" w:ascii="宋体" w:hAnsi="宋体" w:cs="宋体"/>
          <w:color w:val="000000"/>
          <w:lang w:eastAsia="zh-CN"/>
        </w:rPr>
        <w:t>三</w:t>
      </w:r>
      <w:r>
        <w:rPr>
          <w:rFonts w:hint="eastAsia" w:ascii="宋体" w:hAnsi="宋体" w:cs="宋体"/>
          <w:color w:val="000000"/>
        </w:rPr>
        <w:t>年，凭相应的任务进度报告经采购人签字确认后，凭中标人提供的正式发票，采购人向中标人支付相应合同额的</w:t>
      </w:r>
      <w:r>
        <w:rPr>
          <w:rFonts w:hint="eastAsia" w:ascii="宋体" w:hAnsi="宋体" w:cs="宋体"/>
          <w:color w:val="000000"/>
          <w:lang w:val="en-US" w:eastAsia="zh-CN"/>
        </w:rPr>
        <w:t>3</w:t>
      </w:r>
      <w:r>
        <w:rPr>
          <w:rFonts w:hint="eastAsia" w:ascii="宋体" w:hAnsi="宋体" w:cs="宋体"/>
          <w:color w:val="000000"/>
        </w:rPr>
        <w:t>0%。</w:t>
      </w:r>
    </w:p>
    <w:p>
      <w:pPr>
        <w:spacing w:line="500" w:lineRule="exact"/>
        <w:rPr>
          <w:rFonts w:hint="eastAsia" w:ascii="宋体" w:hAnsi="宋体" w:cs="宋体" w:eastAsiaTheme="minorEastAsia"/>
          <w:color w:val="00000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F1297"/>
    <w:multiLevelType w:val="multilevel"/>
    <w:tmpl w:val="34DF1297"/>
    <w:lvl w:ilvl="0" w:tentative="0">
      <w:start w:val="1"/>
      <w:numFmt w:val="decimal"/>
      <w:pStyle w:val="6"/>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suff w:val="space"/>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
    <w:nsid w:val="37A56474"/>
    <w:multiLevelType w:val="multilevel"/>
    <w:tmpl w:val="37A56474"/>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617F8A"/>
    <w:multiLevelType w:val="multilevel"/>
    <w:tmpl w:val="4B617F8A"/>
    <w:lvl w:ilvl="0" w:tentative="0">
      <w:start w:val="1"/>
      <w:numFmt w:val="decimal"/>
      <w:pStyle w:val="3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A4248CD"/>
    <w:multiLevelType w:val="multilevel"/>
    <w:tmpl w:val="5A4248CD"/>
    <w:lvl w:ilvl="0" w:tentative="0">
      <w:start w:val="1"/>
      <w:numFmt w:val="chineseCountingThousand"/>
      <w:pStyle w:val="2"/>
      <w:lvlText w:val="第%1章 "/>
      <w:lvlJc w:val="left"/>
      <w:pPr>
        <w:tabs>
          <w:tab w:val="left" w:pos="567"/>
        </w:tabs>
        <w:ind w:left="0" w:firstLine="0"/>
      </w:pPr>
      <w:rPr>
        <w:rFonts w:hint="default" w:ascii="Times New Roman" w:hAnsi="Times New Roman" w:eastAsia="宋体" w:cs="Times New Roman"/>
      </w:rPr>
    </w:lvl>
    <w:lvl w:ilvl="1" w:tentative="0">
      <w:start w:val="1"/>
      <w:numFmt w:val="decimal"/>
      <w:lvlRestart w:val="0"/>
      <w:pStyle w:val="3"/>
      <w:isLgl/>
      <w:suff w:val="space"/>
      <w:lvlText w:val="%1.%2"/>
      <w:lvlJc w:val="left"/>
      <w:pPr>
        <w:ind w:left="0" w:firstLine="0"/>
      </w:pPr>
      <w:rPr>
        <w:rFonts w:hint="default" w:ascii="Times New Roman" w:hAnsi="Times New Roman" w:eastAsia="宋体"/>
        <w:sz w:val="32"/>
        <w:szCs w:val="32"/>
      </w:rPr>
    </w:lvl>
    <w:lvl w:ilvl="2" w:tentative="0">
      <w:start w:val="1"/>
      <w:numFmt w:val="decimal"/>
      <w:pStyle w:val="4"/>
      <w:isLgl/>
      <w:suff w:val="space"/>
      <w:lvlText w:val="%1.%2.%3"/>
      <w:lvlJc w:val="left"/>
      <w:pPr>
        <w:ind w:left="0" w:firstLine="0"/>
      </w:pPr>
      <w:rPr>
        <w:rFonts w:hint="default" w:ascii="Times New Roman" w:hAnsi="Times New Roman" w:eastAsia="宋体" w:cs="宋体"/>
        <w:sz w:val="30"/>
        <w:szCs w:val="30"/>
      </w:rPr>
    </w:lvl>
    <w:lvl w:ilvl="3" w:tentative="0">
      <w:start w:val="1"/>
      <w:numFmt w:val="decimal"/>
      <w:pStyle w:val="5"/>
      <w:isLgl/>
      <w:suff w:val="space"/>
      <w:lvlText w:val="%1.%2.%3.%4"/>
      <w:lvlJc w:val="left"/>
      <w:pPr>
        <w:ind w:left="17" w:hanging="17"/>
      </w:pPr>
      <w:rPr>
        <w:rFonts w:hint="default" w:ascii="宋体" w:hAnsi="宋体" w:eastAsia="宋体" w:cs="宋体"/>
        <w:sz w:val="24"/>
      </w:rPr>
    </w:lvl>
    <w:lvl w:ilvl="4" w:tentative="0">
      <w:start w:val="1"/>
      <w:numFmt w:val="decimal"/>
      <w:lvlText w:val="%5)"/>
      <w:lvlJc w:val="left"/>
      <w:pPr>
        <w:tabs>
          <w:tab w:val="left" w:pos="1008"/>
        </w:tabs>
        <w:ind w:left="1008" w:hanging="432"/>
      </w:pPr>
      <w:rPr>
        <w:rFonts w:hint="eastAsia"/>
      </w:rPr>
    </w:lvl>
    <w:lvl w:ilvl="5" w:tentative="0">
      <w:start w:val="1"/>
      <w:numFmt w:val="lowerLetter"/>
      <w:pStyle w:val="7"/>
      <w:lvlText w:val="%6)"/>
      <w:lvlJc w:val="left"/>
      <w:pPr>
        <w:tabs>
          <w:tab w:val="left" w:pos="1152"/>
        </w:tabs>
        <w:ind w:left="1152" w:hanging="432"/>
      </w:pPr>
      <w:rPr>
        <w:rFonts w:hint="eastAsia"/>
      </w:rPr>
    </w:lvl>
    <w:lvl w:ilvl="6" w:tentative="0">
      <w:start w:val="1"/>
      <w:numFmt w:val="lowerRoman"/>
      <w:pStyle w:val="8"/>
      <w:lvlText w:val="%7)"/>
      <w:lvlJc w:val="right"/>
      <w:pPr>
        <w:tabs>
          <w:tab w:val="left" w:pos="1296"/>
        </w:tabs>
        <w:ind w:left="1296" w:hanging="288"/>
      </w:pPr>
      <w:rPr>
        <w:rFonts w:hint="eastAsia"/>
      </w:rPr>
    </w:lvl>
    <w:lvl w:ilvl="7" w:tentative="0">
      <w:start w:val="1"/>
      <w:numFmt w:val="lowerLetter"/>
      <w:pStyle w:val="9"/>
      <w:lvlText w:val="%8."/>
      <w:lvlJc w:val="left"/>
      <w:pPr>
        <w:tabs>
          <w:tab w:val="left" w:pos="1440"/>
        </w:tabs>
        <w:ind w:left="1440" w:hanging="432"/>
      </w:pPr>
      <w:rPr>
        <w:rFonts w:hint="eastAsia"/>
      </w:rPr>
    </w:lvl>
    <w:lvl w:ilvl="8" w:tentative="0">
      <w:start w:val="1"/>
      <w:numFmt w:val="lowerRoman"/>
      <w:pStyle w:val="10"/>
      <w:lvlText w:val="%9."/>
      <w:lvlJc w:val="right"/>
      <w:pPr>
        <w:tabs>
          <w:tab w:val="left" w:pos="1584"/>
        </w:tabs>
        <w:ind w:left="1584" w:hanging="144"/>
      </w:pPr>
      <w:rPr>
        <w:rFonts w:hint="eastAsia"/>
      </w:rPr>
    </w:lvl>
  </w:abstractNum>
  <w:abstractNum w:abstractNumId="4">
    <w:nsid w:val="6FC22AB3"/>
    <w:multiLevelType w:val="multilevel"/>
    <w:tmpl w:val="6FC22AB3"/>
    <w:lvl w:ilvl="0" w:tentative="0">
      <w:start w:val="1"/>
      <w:numFmt w:val="decimal"/>
      <w:lvlText w:val="(%1)."/>
      <w:lvlJc w:val="left"/>
      <w:pPr>
        <w:tabs>
          <w:tab w:val="left" w:pos="425"/>
        </w:tabs>
        <w:ind w:left="425" w:hanging="425"/>
      </w:pPr>
      <w:rPr>
        <w:rFonts w:hint="default"/>
      </w:rPr>
    </w:lvl>
    <w:lvl w:ilvl="1" w:tentative="0">
      <w:start w:val="1"/>
      <w:numFmt w:val="decimal"/>
      <w:pStyle w:val="30"/>
      <w:suff w:val="space"/>
      <w:lvlText w:val="(%2)"/>
      <w:lvlJc w:val="left"/>
      <w:pPr>
        <w:tabs>
          <w:tab w:val="left" w:pos="420"/>
        </w:tabs>
        <w:ind w:left="0" w:firstLine="420"/>
      </w:pPr>
      <w:rPr>
        <w:rFonts w:hint="default" w:ascii="Times New Roman" w:hAnsi="Times New Roman" w:eastAsia="宋体" w:cs="Times New Roman"/>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CC"/>
    <w:rsid w:val="00011CE5"/>
    <w:rsid w:val="00027B79"/>
    <w:rsid w:val="0004707F"/>
    <w:rsid w:val="0006437C"/>
    <w:rsid w:val="00064FE9"/>
    <w:rsid w:val="00087546"/>
    <w:rsid w:val="00092866"/>
    <w:rsid w:val="00095A3C"/>
    <w:rsid w:val="000A63C1"/>
    <w:rsid w:val="000B6617"/>
    <w:rsid w:val="000C20FD"/>
    <w:rsid w:val="000C30F1"/>
    <w:rsid w:val="000C50CB"/>
    <w:rsid w:val="000D273C"/>
    <w:rsid w:val="000D6551"/>
    <w:rsid w:val="000D6E94"/>
    <w:rsid w:val="000E0C7A"/>
    <w:rsid w:val="000E32ED"/>
    <w:rsid w:val="000E48C0"/>
    <w:rsid w:val="000E6A26"/>
    <w:rsid w:val="00104491"/>
    <w:rsid w:val="00106CE5"/>
    <w:rsid w:val="001102D3"/>
    <w:rsid w:val="00112E85"/>
    <w:rsid w:val="00113891"/>
    <w:rsid w:val="001152D3"/>
    <w:rsid w:val="00132A6F"/>
    <w:rsid w:val="001360D8"/>
    <w:rsid w:val="0014436B"/>
    <w:rsid w:val="0016023A"/>
    <w:rsid w:val="001877E1"/>
    <w:rsid w:val="001A50CD"/>
    <w:rsid w:val="001B4019"/>
    <w:rsid w:val="001C3ECC"/>
    <w:rsid w:val="001D02BE"/>
    <w:rsid w:val="001D6234"/>
    <w:rsid w:val="001E1DF0"/>
    <w:rsid w:val="00200E8C"/>
    <w:rsid w:val="00204858"/>
    <w:rsid w:val="00210D74"/>
    <w:rsid w:val="00222B5A"/>
    <w:rsid w:val="0023088A"/>
    <w:rsid w:val="00257E19"/>
    <w:rsid w:val="002702C9"/>
    <w:rsid w:val="002967BE"/>
    <w:rsid w:val="002A7B9C"/>
    <w:rsid w:val="002C3DFB"/>
    <w:rsid w:val="002C7D51"/>
    <w:rsid w:val="002D2578"/>
    <w:rsid w:val="002E5882"/>
    <w:rsid w:val="002E69EE"/>
    <w:rsid w:val="002E73EE"/>
    <w:rsid w:val="002E745D"/>
    <w:rsid w:val="002F25EB"/>
    <w:rsid w:val="00306B87"/>
    <w:rsid w:val="0030783C"/>
    <w:rsid w:val="00321B2F"/>
    <w:rsid w:val="003224FE"/>
    <w:rsid w:val="003254D8"/>
    <w:rsid w:val="00330CAD"/>
    <w:rsid w:val="00355076"/>
    <w:rsid w:val="00363D50"/>
    <w:rsid w:val="0036453C"/>
    <w:rsid w:val="003655C3"/>
    <w:rsid w:val="0038677A"/>
    <w:rsid w:val="00386DE5"/>
    <w:rsid w:val="003A29E7"/>
    <w:rsid w:val="003B1390"/>
    <w:rsid w:val="003B58C8"/>
    <w:rsid w:val="003C5FA9"/>
    <w:rsid w:val="003D728B"/>
    <w:rsid w:val="003F77C7"/>
    <w:rsid w:val="00402347"/>
    <w:rsid w:val="00413133"/>
    <w:rsid w:val="00425BE7"/>
    <w:rsid w:val="004459C8"/>
    <w:rsid w:val="00460030"/>
    <w:rsid w:val="00462736"/>
    <w:rsid w:val="00466D7D"/>
    <w:rsid w:val="0049219D"/>
    <w:rsid w:val="00492D0D"/>
    <w:rsid w:val="00496753"/>
    <w:rsid w:val="004A1FB5"/>
    <w:rsid w:val="004A357D"/>
    <w:rsid w:val="004A3738"/>
    <w:rsid w:val="004A71E4"/>
    <w:rsid w:val="004B0AC1"/>
    <w:rsid w:val="004D2091"/>
    <w:rsid w:val="004D327E"/>
    <w:rsid w:val="004E20B3"/>
    <w:rsid w:val="00500C99"/>
    <w:rsid w:val="005167D0"/>
    <w:rsid w:val="00532B3D"/>
    <w:rsid w:val="005341D7"/>
    <w:rsid w:val="00537C9B"/>
    <w:rsid w:val="005407D0"/>
    <w:rsid w:val="00540DD1"/>
    <w:rsid w:val="00560D53"/>
    <w:rsid w:val="00561490"/>
    <w:rsid w:val="005853A9"/>
    <w:rsid w:val="005866BC"/>
    <w:rsid w:val="00587034"/>
    <w:rsid w:val="00594CFC"/>
    <w:rsid w:val="005A5AAC"/>
    <w:rsid w:val="005C0DF8"/>
    <w:rsid w:val="005C1A5E"/>
    <w:rsid w:val="005D3AEE"/>
    <w:rsid w:val="005F1EA2"/>
    <w:rsid w:val="006133EA"/>
    <w:rsid w:val="006372BE"/>
    <w:rsid w:val="00655035"/>
    <w:rsid w:val="00657023"/>
    <w:rsid w:val="006603CF"/>
    <w:rsid w:val="00664392"/>
    <w:rsid w:val="00666E8A"/>
    <w:rsid w:val="00671D6B"/>
    <w:rsid w:val="00673C90"/>
    <w:rsid w:val="006827C6"/>
    <w:rsid w:val="00686CF2"/>
    <w:rsid w:val="006930A7"/>
    <w:rsid w:val="006A751E"/>
    <w:rsid w:val="006A7B44"/>
    <w:rsid w:val="006B2FBC"/>
    <w:rsid w:val="006E02B9"/>
    <w:rsid w:val="006F4D48"/>
    <w:rsid w:val="006F6BB5"/>
    <w:rsid w:val="007034EB"/>
    <w:rsid w:val="00703EFA"/>
    <w:rsid w:val="0070743A"/>
    <w:rsid w:val="0071022B"/>
    <w:rsid w:val="00710F12"/>
    <w:rsid w:val="00713DCC"/>
    <w:rsid w:val="007218C3"/>
    <w:rsid w:val="00723859"/>
    <w:rsid w:val="007342C0"/>
    <w:rsid w:val="007403DB"/>
    <w:rsid w:val="00740DF4"/>
    <w:rsid w:val="00740E86"/>
    <w:rsid w:val="00741EDA"/>
    <w:rsid w:val="00753D98"/>
    <w:rsid w:val="00754072"/>
    <w:rsid w:val="007542EA"/>
    <w:rsid w:val="007704B6"/>
    <w:rsid w:val="00773899"/>
    <w:rsid w:val="007741BE"/>
    <w:rsid w:val="0078404B"/>
    <w:rsid w:val="00786A83"/>
    <w:rsid w:val="00792BA6"/>
    <w:rsid w:val="007A1566"/>
    <w:rsid w:val="007A7E2B"/>
    <w:rsid w:val="007B12AA"/>
    <w:rsid w:val="007C2E76"/>
    <w:rsid w:val="007C7C96"/>
    <w:rsid w:val="007D37CC"/>
    <w:rsid w:val="007D4E96"/>
    <w:rsid w:val="007F08CD"/>
    <w:rsid w:val="007F0FEE"/>
    <w:rsid w:val="00803B29"/>
    <w:rsid w:val="008140C7"/>
    <w:rsid w:val="00816F48"/>
    <w:rsid w:val="00823DA4"/>
    <w:rsid w:val="00831D45"/>
    <w:rsid w:val="00846A81"/>
    <w:rsid w:val="008540FD"/>
    <w:rsid w:val="00865CB3"/>
    <w:rsid w:val="008703F7"/>
    <w:rsid w:val="008842BF"/>
    <w:rsid w:val="00890BEA"/>
    <w:rsid w:val="008A3E44"/>
    <w:rsid w:val="008B47A4"/>
    <w:rsid w:val="008B7C3E"/>
    <w:rsid w:val="008E1FCC"/>
    <w:rsid w:val="008F58AA"/>
    <w:rsid w:val="009245E5"/>
    <w:rsid w:val="0092487D"/>
    <w:rsid w:val="0092583B"/>
    <w:rsid w:val="00947F61"/>
    <w:rsid w:val="0096026E"/>
    <w:rsid w:val="009611D0"/>
    <w:rsid w:val="00964E9C"/>
    <w:rsid w:val="00972E7A"/>
    <w:rsid w:val="009978D3"/>
    <w:rsid w:val="009C2667"/>
    <w:rsid w:val="009C6A4F"/>
    <w:rsid w:val="009C7A0D"/>
    <w:rsid w:val="009D1FB0"/>
    <w:rsid w:val="009D60E1"/>
    <w:rsid w:val="009D7CCE"/>
    <w:rsid w:val="009E14B2"/>
    <w:rsid w:val="009F09A2"/>
    <w:rsid w:val="00A0368C"/>
    <w:rsid w:val="00A11842"/>
    <w:rsid w:val="00A12A27"/>
    <w:rsid w:val="00A137F3"/>
    <w:rsid w:val="00A17C97"/>
    <w:rsid w:val="00A3249B"/>
    <w:rsid w:val="00A372B4"/>
    <w:rsid w:val="00A53F68"/>
    <w:rsid w:val="00A84E69"/>
    <w:rsid w:val="00A86107"/>
    <w:rsid w:val="00A94CC9"/>
    <w:rsid w:val="00A97E25"/>
    <w:rsid w:val="00AA0B7E"/>
    <w:rsid w:val="00AA5A7E"/>
    <w:rsid w:val="00AB0809"/>
    <w:rsid w:val="00AB26BA"/>
    <w:rsid w:val="00AC61B9"/>
    <w:rsid w:val="00AC681E"/>
    <w:rsid w:val="00AD2B19"/>
    <w:rsid w:val="00AE7F92"/>
    <w:rsid w:val="00B01BD5"/>
    <w:rsid w:val="00B06057"/>
    <w:rsid w:val="00B068E0"/>
    <w:rsid w:val="00B1249A"/>
    <w:rsid w:val="00B161F8"/>
    <w:rsid w:val="00B23127"/>
    <w:rsid w:val="00B510FA"/>
    <w:rsid w:val="00B61629"/>
    <w:rsid w:val="00B7029A"/>
    <w:rsid w:val="00B715F8"/>
    <w:rsid w:val="00B721D6"/>
    <w:rsid w:val="00BA429C"/>
    <w:rsid w:val="00BD3F8B"/>
    <w:rsid w:val="00BF25B4"/>
    <w:rsid w:val="00BF579E"/>
    <w:rsid w:val="00C01D00"/>
    <w:rsid w:val="00C02028"/>
    <w:rsid w:val="00C06B0A"/>
    <w:rsid w:val="00C17CC4"/>
    <w:rsid w:val="00C22680"/>
    <w:rsid w:val="00C56A05"/>
    <w:rsid w:val="00C778CB"/>
    <w:rsid w:val="00C93A7D"/>
    <w:rsid w:val="00C940DF"/>
    <w:rsid w:val="00CB04F8"/>
    <w:rsid w:val="00CB22A3"/>
    <w:rsid w:val="00CB6523"/>
    <w:rsid w:val="00CC2905"/>
    <w:rsid w:val="00CC3E2C"/>
    <w:rsid w:val="00CC5F96"/>
    <w:rsid w:val="00CC6303"/>
    <w:rsid w:val="00CF00FA"/>
    <w:rsid w:val="00CF7A5B"/>
    <w:rsid w:val="00D0012D"/>
    <w:rsid w:val="00D17905"/>
    <w:rsid w:val="00D27026"/>
    <w:rsid w:val="00D37C8A"/>
    <w:rsid w:val="00D5048A"/>
    <w:rsid w:val="00D537C4"/>
    <w:rsid w:val="00D553AE"/>
    <w:rsid w:val="00D56AB3"/>
    <w:rsid w:val="00D64527"/>
    <w:rsid w:val="00D7397B"/>
    <w:rsid w:val="00D908D9"/>
    <w:rsid w:val="00D95E97"/>
    <w:rsid w:val="00D97D8E"/>
    <w:rsid w:val="00DA3C9C"/>
    <w:rsid w:val="00DC07BF"/>
    <w:rsid w:val="00DC428F"/>
    <w:rsid w:val="00DC76C0"/>
    <w:rsid w:val="00DD5905"/>
    <w:rsid w:val="00DE1328"/>
    <w:rsid w:val="00DE7A17"/>
    <w:rsid w:val="00DF2A88"/>
    <w:rsid w:val="00DF335E"/>
    <w:rsid w:val="00DF5E7D"/>
    <w:rsid w:val="00E012A0"/>
    <w:rsid w:val="00E01728"/>
    <w:rsid w:val="00E1765D"/>
    <w:rsid w:val="00E2372E"/>
    <w:rsid w:val="00E27B8E"/>
    <w:rsid w:val="00E37C88"/>
    <w:rsid w:val="00E47BB3"/>
    <w:rsid w:val="00E50F1E"/>
    <w:rsid w:val="00E520C2"/>
    <w:rsid w:val="00E53118"/>
    <w:rsid w:val="00E53281"/>
    <w:rsid w:val="00E537BD"/>
    <w:rsid w:val="00E809DF"/>
    <w:rsid w:val="00E85AA2"/>
    <w:rsid w:val="00E90B7E"/>
    <w:rsid w:val="00E93DD3"/>
    <w:rsid w:val="00EA7F4F"/>
    <w:rsid w:val="00EB5052"/>
    <w:rsid w:val="00EB64E4"/>
    <w:rsid w:val="00EC6B86"/>
    <w:rsid w:val="00EE205C"/>
    <w:rsid w:val="00F12886"/>
    <w:rsid w:val="00F13BBE"/>
    <w:rsid w:val="00F16D7F"/>
    <w:rsid w:val="00F20A2C"/>
    <w:rsid w:val="00F3179D"/>
    <w:rsid w:val="00F32B94"/>
    <w:rsid w:val="00F32F99"/>
    <w:rsid w:val="00F34251"/>
    <w:rsid w:val="00F37F19"/>
    <w:rsid w:val="00F4300E"/>
    <w:rsid w:val="00F54377"/>
    <w:rsid w:val="00F563A8"/>
    <w:rsid w:val="00F73B70"/>
    <w:rsid w:val="00F73E02"/>
    <w:rsid w:val="00F75F32"/>
    <w:rsid w:val="00F8228D"/>
    <w:rsid w:val="00F85418"/>
    <w:rsid w:val="00F91629"/>
    <w:rsid w:val="00F96AE7"/>
    <w:rsid w:val="00FB3905"/>
    <w:rsid w:val="00FC4CA1"/>
    <w:rsid w:val="00FD26ED"/>
    <w:rsid w:val="01ED479C"/>
    <w:rsid w:val="04581DE6"/>
    <w:rsid w:val="0D7B0380"/>
    <w:rsid w:val="0EC610C3"/>
    <w:rsid w:val="0F820DCB"/>
    <w:rsid w:val="12E5530C"/>
    <w:rsid w:val="134926D3"/>
    <w:rsid w:val="13CA183B"/>
    <w:rsid w:val="185467A5"/>
    <w:rsid w:val="1B854D52"/>
    <w:rsid w:val="221E3CD2"/>
    <w:rsid w:val="232F0620"/>
    <w:rsid w:val="251C31B6"/>
    <w:rsid w:val="2DF22655"/>
    <w:rsid w:val="31B01624"/>
    <w:rsid w:val="341C3C1D"/>
    <w:rsid w:val="381545E5"/>
    <w:rsid w:val="3A1E1BCB"/>
    <w:rsid w:val="3DF95AA4"/>
    <w:rsid w:val="3F00085E"/>
    <w:rsid w:val="40BE364F"/>
    <w:rsid w:val="42BC523B"/>
    <w:rsid w:val="42E47DC7"/>
    <w:rsid w:val="43A92C8C"/>
    <w:rsid w:val="47965485"/>
    <w:rsid w:val="486D2FBC"/>
    <w:rsid w:val="48DE2ED6"/>
    <w:rsid w:val="49327862"/>
    <w:rsid w:val="4B1E0897"/>
    <w:rsid w:val="56A30254"/>
    <w:rsid w:val="5CDB3081"/>
    <w:rsid w:val="5F132262"/>
    <w:rsid w:val="63437702"/>
    <w:rsid w:val="67143E90"/>
    <w:rsid w:val="67C3777C"/>
    <w:rsid w:val="69323E53"/>
    <w:rsid w:val="727819E2"/>
    <w:rsid w:val="72DF1245"/>
    <w:rsid w:val="742F6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9"/>
    <w:qFormat/>
    <w:uiPriority w:val="0"/>
    <w:pPr>
      <w:keepNext/>
      <w:keepLines/>
      <w:numPr>
        <w:ilvl w:val="0"/>
        <w:numId w:val="1"/>
      </w:numPr>
      <w:spacing w:beforeLines="50" w:afterLines="50"/>
      <w:outlineLvl w:val="0"/>
    </w:pPr>
    <w:rPr>
      <w:rFonts w:ascii="Arial" w:hAnsi="Arial" w:eastAsia="宋体" w:cs="Times New Roman"/>
      <w:b/>
      <w:kern w:val="44"/>
      <w:sz w:val="36"/>
      <w:szCs w:val="30"/>
      <w:lang w:val="en-US" w:eastAsia="zh-CN" w:bidi="ar-SA"/>
    </w:rPr>
  </w:style>
  <w:style w:type="paragraph" w:styleId="3">
    <w:name w:val="heading 2"/>
    <w:basedOn w:val="2"/>
    <w:next w:val="1"/>
    <w:link w:val="20"/>
    <w:qFormat/>
    <w:uiPriority w:val="0"/>
    <w:pPr>
      <w:numPr>
        <w:ilvl w:val="1"/>
      </w:numPr>
      <w:tabs>
        <w:tab w:val="left" w:pos="210"/>
        <w:tab w:val="left" w:pos="227"/>
        <w:tab w:val="left" w:pos="420"/>
      </w:tabs>
      <w:spacing w:line="400" w:lineRule="exact"/>
      <w:outlineLvl w:val="1"/>
    </w:pPr>
    <w:rPr>
      <w:rFonts w:ascii="Times New Roman" w:hAnsi="Times New Roman"/>
      <w:sz w:val="32"/>
      <w:szCs w:val="32"/>
    </w:rPr>
  </w:style>
  <w:style w:type="paragraph" w:styleId="4">
    <w:name w:val="heading 3"/>
    <w:basedOn w:val="3"/>
    <w:next w:val="1"/>
    <w:link w:val="21"/>
    <w:qFormat/>
    <w:uiPriority w:val="0"/>
    <w:pPr>
      <w:numPr>
        <w:ilvl w:val="2"/>
      </w:numPr>
      <w:tabs>
        <w:tab w:val="clear" w:pos="210"/>
        <w:tab w:val="clear" w:pos="227"/>
        <w:tab w:val="clear" w:pos="420"/>
      </w:tabs>
      <w:outlineLvl w:val="2"/>
    </w:pPr>
    <w:rPr>
      <w:sz w:val="30"/>
      <w:szCs w:val="28"/>
    </w:rPr>
  </w:style>
  <w:style w:type="paragraph" w:styleId="5">
    <w:name w:val="heading 4"/>
    <w:basedOn w:val="1"/>
    <w:next w:val="1"/>
    <w:link w:val="22"/>
    <w:qFormat/>
    <w:uiPriority w:val="0"/>
    <w:pPr>
      <w:keepNext/>
      <w:keepLines/>
      <w:numPr>
        <w:ilvl w:val="3"/>
        <w:numId w:val="1"/>
      </w:numPr>
      <w:tabs>
        <w:tab w:val="left" w:pos="1440"/>
      </w:tabs>
      <w:ind w:left="240" w:leftChars="100" w:right="240" w:rightChars="100" w:firstLine="0"/>
      <w:outlineLvl w:val="3"/>
    </w:pPr>
    <w:rPr>
      <w:rFonts w:ascii="Times New Roman" w:hAnsi="Times New Roman" w:eastAsia="宋体" w:cs="Times New Roman"/>
      <w:b/>
      <w:sz w:val="28"/>
      <w:szCs w:val="24"/>
    </w:rPr>
  </w:style>
  <w:style w:type="paragraph" w:styleId="6">
    <w:name w:val="heading 5"/>
    <w:basedOn w:val="1"/>
    <w:next w:val="1"/>
    <w:link w:val="23"/>
    <w:qFormat/>
    <w:uiPriority w:val="0"/>
    <w:pPr>
      <w:keepNext/>
      <w:keepLines/>
      <w:numPr>
        <w:ilvl w:val="0"/>
        <w:numId w:val="2"/>
      </w:numPr>
      <w:spacing w:before="40" w:after="50" w:line="377" w:lineRule="auto"/>
      <w:ind w:right="100" w:rightChars="100" w:firstLine="0"/>
      <w:outlineLvl w:val="4"/>
    </w:pPr>
    <w:rPr>
      <w:rFonts w:ascii="Times New Roman" w:hAnsi="Times New Roman" w:eastAsia="宋体" w:cs="Times New Roman"/>
      <w:b/>
      <w:bCs/>
      <w:sz w:val="24"/>
      <w:szCs w:val="28"/>
    </w:rPr>
  </w:style>
  <w:style w:type="paragraph" w:styleId="7">
    <w:name w:val="heading 6"/>
    <w:basedOn w:val="1"/>
    <w:next w:val="1"/>
    <w:link w:val="24"/>
    <w:qFormat/>
    <w:uiPriority w:val="0"/>
    <w:pPr>
      <w:keepNext/>
      <w:keepLines/>
      <w:numPr>
        <w:ilvl w:val="5"/>
        <w:numId w:val="1"/>
      </w:numPr>
      <w:tabs>
        <w:tab w:val="left" w:pos="567"/>
      </w:tabs>
      <w:spacing w:before="240" w:after="64" w:line="320" w:lineRule="auto"/>
      <w:ind w:firstLine="0"/>
      <w:outlineLvl w:val="5"/>
    </w:pPr>
    <w:rPr>
      <w:rFonts w:ascii="Arial" w:hAnsi="Arial" w:eastAsia="黑体" w:cs="Times New Roman"/>
      <w:b/>
      <w:bCs/>
      <w:sz w:val="24"/>
      <w:szCs w:val="24"/>
    </w:rPr>
  </w:style>
  <w:style w:type="paragraph" w:styleId="8">
    <w:name w:val="heading 7"/>
    <w:basedOn w:val="1"/>
    <w:next w:val="1"/>
    <w:link w:val="25"/>
    <w:qFormat/>
    <w:uiPriority w:val="0"/>
    <w:pPr>
      <w:keepNext/>
      <w:keepLines/>
      <w:numPr>
        <w:ilvl w:val="6"/>
        <w:numId w:val="1"/>
      </w:numPr>
      <w:tabs>
        <w:tab w:val="left" w:pos="567"/>
      </w:tabs>
      <w:spacing w:before="240" w:after="64" w:line="320" w:lineRule="auto"/>
      <w:ind w:firstLine="0"/>
      <w:outlineLvl w:val="6"/>
    </w:pPr>
    <w:rPr>
      <w:rFonts w:ascii="Times New Roman" w:hAnsi="Times New Roman" w:eastAsia="宋体" w:cs="Times New Roman"/>
      <w:b/>
      <w:bCs/>
      <w:sz w:val="24"/>
      <w:szCs w:val="24"/>
    </w:rPr>
  </w:style>
  <w:style w:type="paragraph" w:styleId="9">
    <w:name w:val="heading 8"/>
    <w:basedOn w:val="1"/>
    <w:next w:val="1"/>
    <w:link w:val="26"/>
    <w:qFormat/>
    <w:uiPriority w:val="0"/>
    <w:pPr>
      <w:keepNext/>
      <w:keepLines/>
      <w:numPr>
        <w:ilvl w:val="7"/>
        <w:numId w:val="1"/>
      </w:numPr>
      <w:tabs>
        <w:tab w:val="left" w:pos="567"/>
      </w:tabs>
      <w:spacing w:before="240" w:after="64" w:line="320" w:lineRule="auto"/>
      <w:ind w:firstLine="0"/>
      <w:outlineLvl w:val="7"/>
    </w:pPr>
    <w:rPr>
      <w:rFonts w:ascii="Arial" w:hAnsi="Arial" w:eastAsia="黑体" w:cs="Times New Roman"/>
      <w:sz w:val="24"/>
      <w:szCs w:val="24"/>
    </w:rPr>
  </w:style>
  <w:style w:type="paragraph" w:styleId="10">
    <w:name w:val="heading 9"/>
    <w:basedOn w:val="1"/>
    <w:next w:val="1"/>
    <w:link w:val="27"/>
    <w:qFormat/>
    <w:uiPriority w:val="0"/>
    <w:pPr>
      <w:keepNext/>
      <w:keepLines/>
      <w:numPr>
        <w:ilvl w:val="8"/>
        <w:numId w:val="1"/>
      </w:numPr>
      <w:tabs>
        <w:tab w:val="left" w:pos="567"/>
      </w:tabs>
      <w:spacing w:before="240" w:after="64" w:line="320" w:lineRule="auto"/>
      <w:ind w:firstLine="0"/>
      <w:outlineLvl w:val="8"/>
    </w:pPr>
    <w:rPr>
      <w:rFonts w:ascii="Arial" w:hAnsi="Arial" w:eastAsia="黑体" w:cs="Times New Roman"/>
      <w:sz w:val="24"/>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autoSpaceDE w:val="0"/>
      <w:autoSpaceDN w:val="0"/>
    </w:pPr>
    <w:rPr>
      <w:rFonts w:ascii="仿宋" w:hAnsi="仿宋" w:eastAsia="仿宋" w:cs="仿宋"/>
    </w:rPr>
  </w:style>
  <w:style w:type="paragraph" w:styleId="12">
    <w:name w:val="footer"/>
    <w:basedOn w:val="1"/>
    <w:link w:val="34"/>
    <w:semiHidden/>
    <w:unhideWhenUsed/>
    <w:qFormat/>
    <w:uiPriority w:val="99"/>
    <w:pPr>
      <w:tabs>
        <w:tab w:val="center" w:pos="4153"/>
        <w:tab w:val="right" w:pos="8306"/>
      </w:tabs>
      <w:snapToGrid w:val="0"/>
      <w:jc w:val="left"/>
    </w:pPr>
    <w:rPr>
      <w:sz w:val="18"/>
      <w:szCs w:val="18"/>
    </w:rPr>
  </w:style>
  <w:style w:type="paragraph" w:styleId="1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4"/>
    <w:basedOn w:val="1"/>
    <w:next w:val="1"/>
    <w:qFormat/>
    <w:uiPriority w:val="39"/>
    <w:pPr>
      <w:spacing w:line="300" w:lineRule="auto"/>
      <w:ind w:left="250" w:leftChars="250" w:firstLine="960" w:firstLineChars="200"/>
      <w:jc w:val="right"/>
    </w:pPr>
    <w:rPr>
      <w:rFonts w:ascii="Times New Roman" w:hAnsi="Times New Roman" w:eastAsia="宋体" w:cs="Times New Roman"/>
      <w:sz w:val="24"/>
      <w:szCs w:val="24"/>
    </w:rPr>
  </w:style>
  <w:style w:type="paragraph" w:styleId="15">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Char"/>
    <w:basedOn w:val="18"/>
    <w:link w:val="2"/>
    <w:qFormat/>
    <w:uiPriority w:val="0"/>
    <w:rPr>
      <w:rFonts w:ascii="Arial" w:hAnsi="Arial" w:eastAsia="宋体" w:cs="Times New Roman"/>
      <w:b/>
      <w:kern w:val="44"/>
      <w:sz w:val="36"/>
      <w:szCs w:val="30"/>
    </w:rPr>
  </w:style>
  <w:style w:type="character" w:customStyle="1" w:styleId="20">
    <w:name w:val="标题 2 Char"/>
    <w:basedOn w:val="18"/>
    <w:link w:val="3"/>
    <w:qFormat/>
    <w:uiPriority w:val="0"/>
    <w:rPr>
      <w:rFonts w:ascii="Times New Roman" w:hAnsi="Times New Roman" w:eastAsia="宋体" w:cs="Times New Roman"/>
      <w:b/>
      <w:kern w:val="44"/>
      <w:sz w:val="32"/>
      <w:szCs w:val="32"/>
    </w:rPr>
  </w:style>
  <w:style w:type="character" w:customStyle="1" w:styleId="21">
    <w:name w:val="标题 3 Char"/>
    <w:basedOn w:val="18"/>
    <w:link w:val="4"/>
    <w:qFormat/>
    <w:uiPriority w:val="0"/>
    <w:rPr>
      <w:rFonts w:ascii="Times New Roman" w:hAnsi="Times New Roman" w:eastAsia="宋体" w:cs="Times New Roman"/>
      <w:b/>
      <w:kern w:val="44"/>
      <w:sz w:val="30"/>
      <w:szCs w:val="28"/>
    </w:rPr>
  </w:style>
  <w:style w:type="character" w:customStyle="1" w:styleId="22">
    <w:name w:val="标题 4 Char"/>
    <w:basedOn w:val="18"/>
    <w:link w:val="5"/>
    <w:qFormat/>
    <w:uiPriority w:val="0"/>
    <w:rPr>
      <w:rFonts w:ascii="Times New Roman" w:hAnsi="Times New Roman" w:eastAsia="宋体" w:cs="Times New Roman"/>
      <w:b/>
      <w:sz w:val="28"/>
      <w:szCs w:val="24"/>
    </w:rPr>
  </w:style>
  <w:style w:type="character" w:customStyle="1" w:styleId="23">
    <w:name w:val="标题 5 Char"/>
    <w:basedOn w:val="18"/>
    <w:link w:val="6"/>
    <w:qFormat/>
    <w:uiPriority w:val="0"/>
    <w:rPr>
      <w:rFonts w:ascii="Times New Roman" w:hAnsi="Times New Roman" w:eastAsia="宋体" w:cs="Times New Roman"/>
      <w:b/>
      <w:bCs/>
      <w:sz w:val="24"/>
      <w:szCs w:val="28"/>
    </w:rPr>
  </w:style>
  <w:style w:type="character" w:customStyle="1" w:styleId="24">
    <w:name w:val="标题 6 Char"/>
    <w:basedOn w:val="18"/>
    <w:link w:val="7"/>
    <w:qFormat/>
    <w:uiPriority w:val="0"/>
    <w:rPr>
      <w:rFonts w:ascii="Arial" w:hAnsi="Arial" w:eastAsia="黑体" w:cs="Times New Roman"/>
      <w:b/>
      <w:bCs/>
      <w:sz w:val="24"/>
      <w:szCs w:val="24"/>
    </w:rPr>
  </w:style>
  <w:style w:type="character" w:customStyle="1" w:styleId="25">
    <w:name w:val="标题 7 Char"/>
    <w:basedOn w:val="18"/>
    <w:link w:val="8"/>
    <w:qFormat/>
    <w:uiPriority w:val="0"/>
    <w:rPr>
      <w:rFonts w:ascii="Times New Roman" w:hAnsi="Times New Roman" w:eastAsia="宋体" w:cs="Times New Roman"/>
      <w:b/>
      <w:bCs/>
      <w:sz w:val="24"/>
      <w:szCs w:val="24"/>
    </w:rPr>
  </w:style>
  <w:style w:type="character" w:customStyle="1" w:styleId="26">
    <w:name w:val="标题 8 Char"/>
    <w:basedOn w:val="18"/>
    <w:link w:val="9"/>
    <w:qFormat/>
    <w:uiPriority w:val="0"/>
    <w:rPr>
      <w:rFonts w:ascii="Arial" w:hAnsi="Arial" w:eastAsia="黑体" w:cs="Times New Roman"/>
      <w:sz w:val="24"/>
      <w:szCs w:val="24"/>
    </w:rPr>
  </w:style>
  <w:style w:type="character" w:customStyle="1" w:styleId="27">
    <w:name w:val="标题 9 Char"/>
    <w:basedOn w:val="18"/>
    <w:link w:val="10"/>
    <w:qFormat/>
    <w:uiPriority w:val="0"/>
    <w:rPr>
      <w:rFonts w:ascii="Arial" w:hAnsi="Arial" w:eastAsia="黑体" w:cs="Times New Roman"/>
      <w:sz w:val="24"/>
      <w:szCs w:val="21"/>
    </w:rPr>
  </w:style>
  <w:style w:type="paragraph" w:styleId="28">
    <w:name w:val="List Paragraph"/>
    <w:basedOn w:val="1"/>
    <w:link w:val="32"/>
    <w:qFormat/>
    <w:uiPriority w:val="34"/>
    <w:pPr>
      <w:ind w:firstLine="420" w:firstLineChars="200"/>
    </w:pPr>
  </w:style>
  <w:style w:type="character" w:customStyle="1" w:styleId="29">
    <w:name w:val="标题 Char"/>
    <w:basedOn w:val="18"/>
    <w:link w:val="15"/>
    <w:qFormat/>
    <w:uiPriority w:val="10"/>
    <w:rPr>
      <w:rFonts w:eastAsia="宋体" w:asciiTheme="majorHAnsi" w:hAnsiTheme="majorHAnsi" w:cstheme="majorBidi"/>
      <w:b/>
      <w:bCs/>
      <w:sz w:val="32"/>
      <w:szCs w:val="32"/>
    </w:rPr>
  </w:style>
  <w:style w:type="paragraph" w:customStyle="1" w:styleId="30">
    <w:name w:val="内容编号"/>
    <w:basedOn w:val="1"/>
    <w:qFormat/>
    <w:uiPriority w:val="0"/>
    <w:pPr>
      <w:numPr>
        <w:ilvl w:val="1"/>
        <w:numId w:val="3"/>
      </w:numPr>
    </w:pPr>
  </w:style>
  <w:style w:type="paragraph" w:customStyle="1" w:styleId="31">
    <w:name w:val="文档正文"/>
    <w:basedOn w:val="1"/>
    <w:qFormat/>
    <w:uiPriority w:val="0"/>
    <w:pPr>
      <w:numPr>
        <w:ilvl w:val="0"/>
        <w:numId w:val="4"/>
      </w:numPr>
    </w:pPr>
  </w:style>
  <w:style w:type="character" w:customStyle="1" w:styleId="32">
    <w:name w:val="列出段落 Char"/>
    <w:link w:val="28"/>
    <w:qFormat/>
    <w:uiPriority w:val="34"/>
  </w:style>
  <w:style w:type="character" w:customStyle="1" w:styleId="33">
    <w:name w:val="页眉 Char"/>
    <w:basedOn w:val="18"/>
    <w:link w:val="13"/>
    <w:semiHidden/>
    <w:qFormat/>
    <w:uiPriority w:val="99"/>
    <w:rPr>
      <w:sz w:val="18"/>
      <w:szCs w:val="18"/>
    </w:rPr>
  </w:style>
  <w:style w:type="character" w:customStyle="1" w:styleId="34">
    <w:name w:val="页脚 Char"/>
    <w:basedOn w:val="18"/>
    <w:link w:val="1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C13AC-5FD7-49C8-94F0-3FECC206EF7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454</Words>
  <Characters>2589</Characters>
  <Lines>21</Lines>
  <Paragraphs>6</Paragraphs>
  <TotalTime>9</TotalTime>
  <ScaleCrop>false</ScaleCrop>
  <LinksUpToDate>false</LinksUpToDate>
  <CharactersWithSpaces>3037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2020-05-27T09:13:00Z</dcterms:created>
  <dc:creator>廖锡广</dc:creator>
  <cp:lastModifiedBy>未知</cp:lastModifiedBy>
  <cp:lastPrinted>2025-07-14T09:21:00Z</cp:lastPrinted>
  <dcterms:modified xsi:type="dcterms:W3CDTF">2026-04-15T06:20:03Z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eyJoZGlkIjoiOTI5ZTJlYzc2NjU2ZjRjZjNmODkxNjUzYzc5NzdmNDMiLCJ1c2VySWQiOiI4NDQ3NDQyODQifQ==</vt:lpwstr>
  </property>
  <property fmtid="{D5CDD505-2E9C-101B-9397-08002B2CF9AE}" pid="4" name="ICV">
    <vt:lpwstr>16A97F5025B147139A433AD41E0B1A2B_12</vt:lpwstr>
  </property>
</Properties>
</file>